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E0F" w:rsidRDefault="00C84E0F" w:rsidP="00FD36DF">
      <w:pPr>
        <w:spacing w:line="360" w:lineRule="auto"/>
        <w:rPr>
          <w:rFonts w:asciiTheme="minorHAnsi" w:hAnsiTheme="minorHAnsi" w:cs="Times New Roman"/>
          <w:b/>
          <w:bCs/>
          <w:sz w:val="30"/>
          <w:szCs w:val="30"/>
          <w:u w:val="single"/>
        </w:rPr>
      </w:pPr>
    </w:p>
    <w:tbl>
      <w:tblPr>
        <w:tblStyle w:val="Tabellenraster"/>
        <w:tblW w:w="0" w:type="auto"/>
        <w:tblLook w:val="04A0" w:firstRow="1" w:lastRow="0" w:firstColumn="1" w:lastColumn="0" w:noHBand="0" w:noVBand="1"/>
      </w:tblPr>
      <w:tblGrid>
        <w:gridCol w:w="3085"/>
        <w:gridCol w:w="6127"/>
      </w:tblGrid>
      <w:tr w:rsidR="00884639" w:rsidRPr="00884639" w:rsidTr="00C655DA">
        <w:tc>
          <w:tcPr>
            <w:tcW w:w="3085" w:type="dxa"/>
          </w:tcPr>
          <w:p w:rsidR="00884639" w:rsidRPr="00884639" w:rsidRDefault="00884639" w:rsidP="00FD36DF">
            <w:pPr>
              <w:rPr>
                <w:rFonts w:asciiTheme="minorHAnsi" w:hAnsiTheme="minorHAnsi" w:cs="Arial"/>
                <w:b/>
              </w:rPr>
            </w:pPr>
            <w:r w:rsidRPr="00884639">
              <w:rPr>
                <w:rFonts w:asciiTheme="minorHAnsi" w:hAnsiTheme="minorHAnsi" w:cs="Arial"/>
                <w:b/>
              </w:rPr>
              <w:t>Name/E-Mail:</w:t>
            </w:r>
          </w:p>
        </w:tc>
        <w:tc>
          <w:tcPr>
            <w:tcW w:w="6127" w:type="dxa"/>
          </w:tcPr>
          <w:p w:rsidR="00884639" w:rsidRPr="00884639" w:rsidRDefault="00884639" w:rsidP="00FD36DF">
            <w:pPr>
              <w:rPr>
                <w:rFonts w:asciiTheme="minorHAnsi" w:hAnsiTheme="minorHAnsi" w:cs="Arial"/>
                <w:lang w:val="en-GB"/>
              </w:rPr>
            </w:pPr>
            <w:r w:rsidRPr="00884639">
              <w:rPr>
                <w:rFonts w:asciiTheme="minorHAnsi" w:hAnsiTheme="minorHAnsi" w:cs="Times New Roman"/>
                <w:lang w:val="en-GB"/>
              </w:rPr>
              <w:t xml:space="preserve">Martin </w:t>
            </w:r>
            <w:proofErr w:type="spellStart"/>
            <w:r w:rsidRPr="00884639">
              <w:rPr>
                <w:rFonts w:asciiTheme="minorHAnsi" w:hAnsiTheme="minorHAnsi" w:cs="Times New Roman"/>
                <w:lang w:val="en-GB"/>
              </w:rPr>
              <w:t>Hassler</w:t>
            </w:r>
            <w:proofErr w:type="spellEnd"/>
            <w:r w:rsidRPr="00884639">
              <w:rPr>
                <w:rFonts w:asciiTheme="minorHAnsi" w:hAnsiTheme="minorHAnsi" w:cs="Arial"/>
                <w:lang w:val="en-GB"/>
              </w:rPr>
              <w:t xml:space="preserve">, </w:t>
            </w:r>
            <w:r w:rsidRPr="00884639">
              <w:rPr>
                <w:rFonts w:asciiTheme="minorHAnsi" w:hAnsiTheme="minorHAnsi" w:cs="Times New Roman"/>
                <w:lang w:val="en-GB"/>
              </w:rPr>
              <w:t>Martin.Hassler@stud.sbg.ac.at</w:t>
            </w:r>
          </w:p>
        </w:tc>
      </w:tr>
      <w:tr w:rsidR="00884639" w:rsidRPr="00884639" w:rsidTr="00C655DA">
        <w:tc>
          <w:tcPr>
            <w:tcW w:w="3085" w:type="dxa"/>
          </w:tcPr>
          <w:p w:rsidR="00884639" w:rsidRPr="00884639" w:rsidRDefault="00884639" w:rsidP="00FD36DF">
            <w:pPr>
              <w:rPr>
                <w:rFonts w:asciiTheme="minorHAnsi" w:hAnsiTheme="minorHAnsi" w:cs="Arial"/>
                <w:b/>
              </w:rPr>
            </w:pPr>
            <w:r w:rsidRPr="00884639">
              <w:rPr>
                <w:rFonts w:asciiTheme="minorHAnsi" w:hAnsiTheme="minorHAnsi" w:cs="Arial"/>
                <w:b/>
              </w:rPr>
              <w:t>laufende Nr.:</w:t>
            </w:r>
          </w:p>
        </w:tc>
        <w:tc>
          <w:tcPr>
            <w:tcW w:w="6127" w:type="dxa"/>
          </w:tcPr>
          <w:p w:rsidR="00884639" w:rsidRPr="00884639" w:rsidRDefault="00884639" w:rsidP="00FD36DF">
            <w:pPr>
              <w:rPr>
                <w:rFonts w:asciiTheme="minorHAnsi" w:hAnsiTheme="minorHAnsi" w:cs="Arial"/>
              </w:rPr>
            </w:pPr>
            <w:r w:rsidRPr="00884639">
              <w:rPr>
                <w:rFonts w:asciiTheme="minorHAnsi" w:hAnsiTheme="minorHAnsi" w:cs="Arial"/>
              </w:rPr>
              <w:t>S14 gw6D 01</w:t>
            </w:r>
          </w:p>
        </w:tc>
      </w:tr>
      <w:tr w:rsidR="00884639" w:rsidRPr="00884639" w:rsidTr="00C655DA">
        <w:tc>
          <w:tcPr>
            <w:tcW w:w="3085" w:type="dxa"/>
          </w:tcPr>
          <w:p w:rsidR="00884639" w:rsidRPr="00884639" w:rsidRDefault="00884639" w:rsidP="00FD36DF">
            <w:pPr>
              <w:rPr>
                <w:rFonts w:asciiTheme="minorHAnsi" w:hAnsiTheme="minorHAnsi" w:cs="Arial"/>
                <w:b/>
              </w:rPr>
            </w:pPr>
            <w:r w:rsidRPr="00884639">
              <w:rPr>
                <w:rFonts w:asciiTheme="minorHAnsi" w:hAnsiTheme="minorHAnsi" w:cs="Arial"/>
                <w:b/>
              </w:rPr>
              <w:t>Klasse:</w:t>
            </w:r>
          </w:p>
        </w:tc>
        <w:tc>
          <w:tcPr>
            <w:tcW w:w="6127" w:type="dxa"/>
          </w:tcPr>
          <w:p w:rsidR="00884639" w:rsidRPr="00884639" w:rsidRDefault="00884639" w:rsidP="00FD36DF">
            <w:pPr>
              <w:rPr>
                <w:rFonts w:asciiTheme="minorHAnsi" w:hAnsiTheme="minorHAnsi" w:cs="Arial"/>
              </w:rPr>
            </w:pPr>
            <w:r w:rsidRPr="00884639">
              <w:rPr>
                <w:rFonts w:asciiTheme="minorHAnsi" w:hAnsiTheme="minorHAnsi" w:cs="Arial"/>
              </w:rPr>
              <w:t>6. Klasse AHS</w:t>
            </w:r>
          </w:p>
        </w:tc>
      </w:tr>
      <w:tr w:rsidR="00884639" w:rsidRPr="00884639" w:rsidTr="00C655DA">
        <w:tc>
          <w:tcPr>
            <w:tcW w:w="3085" w:type="dxa"/>
          </w:tcPr>
          <w:p w:rsidR="00884639" w:rsidRPr="00884639" w:rsidRDefault="00884639" w:rsidP="00FD36DF">
            <w:pPr>
              <w:rPr>
                <w:rFonts w:asciiTheme="minorHAnsi" w:hAnsiTheme="minorHAnsi" w:cs="Arial"/>
                <w:b/>
              </w:rPr>
            </w:pPr>
            <w:r w:rsidRPr="00884639">
              <w:rPr>
                <w:rFonts w:asciiTheme="minorHAnsi" w:hAnsiTheme="minorHAnsi" w:cs="Arial"/>
                <w:b/>
              </w:rPr>
              <w:t>Lehrplankapitel:</w:t>
            </w:r>
          </w:p>
        </w:tc>
        <w:tc>
          <w:tcPr>
            <w:tcW w:w="6127" w:type="dxa"/>
          </w:tcPr>
          <w:p w:rsidR="00884639" w:rsidRPr="00884639" w:rsidRDefault="00884639" w:rsidP="00FD36DF">
            <w:pPr>
              <w:rPr>
                <w:rFonts w:asciiTheme="minorHAnsi" w:hAnsiTheme="minorHAnsi" w:cs="Arial"/>
              </w:rPr>
            </w:pPr>
            <w:r w:rsidRPr="00884639">
              <w:rPr>
                <w:rFonts w:asciiTheme="minorHAnsi" w:hAnsiTheme="minorHAnsi" w:cs="Times New Roman"/>
              </w:rPr>
              <w:t>Wettbewerbs- und Regionalpolitik</w:t>
            </w:r>
          </w:p>
        </w:tc>
      </w:tr>
      <w:tr w:rsidR="00884639" w:rsidRPr="00884639" w:rsidTr="00C655DA">
        <w:tc>
          <w:tcPr>
            <w:tcW w:w="3085" w:type="dxa"/>
          </w:tcPr>
          <w:p w:rsidR="00884639" w:rsidRPr="00884639" w:rsidRDefault="00884639" w:rsidP="00FD36DF">
            <w:pPr>
              <w:rPr>
                <w:rFonts w:asciiTheme="minorHAnsi" w:hAnsiTheme="minorHAnsi" w:cs="Arial"/>
                <w:b/>
              </w:rPr>
            </w:pPr>
            <w:r w:rsidRPr="00884639">
              <w:rPr>
                <w:rFonts w:asciiTheme="minorHAnsi" w:hAnsiTheme="minorHAnsi" w:cs="Arial"/>
                <w:b/>
              </w:rPr>
              <w:t>Richtlernziel des Lehrplans:</w:t>
            </w:r>
          </w:p>
        </w:tc>
        <w:tc>
          <w:tcPr>
            <w:tcW w:w="6127" w:type="dxa"/>
          </w:tcPr>
          <w:p w:rsidR="00FD36DF" w:rsidRDefault="00FD36DF" w:rsidP="00FD36DF">
            <w:pPr>
              <w:pStyle w:val="Listenabsatz"/>
              <w:numPr>
                <w:ilvl w:val="0"/>
                <w:numId w:val="3"/>
              </w:numPr>
              <w:spacing w:after="0"/>
              <w:rPr>
                <w:rFonts w:asciiTheme="minorHAnsi" w:hAnsiTheme="minorHAnsi" w:cs="Arial"/>
                <w:sz w:val="24"/>
                <w:szCs w:val="24"/>
                <w:lang w:val="de-AT"/>
              </w:rPr>
            </w:pPr>
            <w:r w:rsidRPr="00FD36DF">
              <w:rPr>
                <w:rFonts w:asciiTheme="minorHAnsi" w:hAnsiTheme="minorHAnsi" w:cs="Arial"/>
                <w:sz w:val="24"/>
                <w:szCs w:val="24"/>
                <w:lang w:val="de-AT"/>
              </w:rPr>
              <w:t xml:space="preserve">Einsichten in die Maßnahmen und Auswirkungen der Verkehrs-und Wirtschaftspolitik der Europäischen Union gewinnen. </w:t>
            </w:r>
          </w:p>
          <w:p w:rsidR="00884639" w:rsidRPr="00FD36DF" w:rsidRDefault="00FD36DF" w:rsidP="00FD36DF">
            <w:pPr>
              <w:pStyle w:val="Listenabsatz"/>
              <w:numPr>
                <w:ilvl w:val="0"/>
                <w:numId w:val="3"/>
              </w:numPr>
              <w:spacing w:after="0"/>
              <w:rPr>
                <w:rFonts w:asciiTheme="minorHAnsi" w:hAnsiTheme="minorHAnsi" w:cs="Arial"/>
                <w:sz w:val="24"/>
                <w:szCs w:val="24"/>
                <w:lang w:val="de-AT"/>
              </w:rPr>
            </w:pPr>
            <w:r w:rsidRPr="00FD36DF">
              <w:rPr>
                <w:rFonts w:asciiTheme="minorHAnsi" w:hAnsiTheme="minorHAnsi" w:cs="Arial"/>
                <w:sz w:val="24"/>
                <w:szCs w:val="24"/>
                <w:lang w:val="de-AT"/>
              </w:rPr>
              <w:t>Deren Träger, Instrumente und Funktionsweise kennen lernen und kritisch bewerten.</w:t>
            </w:r>
          </w:p>
        </w:tc>
      </w:tr>
      <w:tr w:rsidR="00884639" w:rsidRPr="00884639" w:rsidTr="00C655DA">
        <w:tc>
          <w:tcPr>
            <w:tcW w:w="3085" w:type="dxa"/>
          </w:tcPr>
          <w:p w:rsidR="00884639" w:rsidRPr="00884639" w:rsidRDefault="00884639" w:rsidP="00FD36DF">
            <w:pPr>
              <w:rPr>
                <w:rFonts w:asciiTheme="minorHAnsi" w:hAnsiTheme="minorHAnsi" w:cs="Arial"/>
                <w:b/>
              </w:rPr>
            </w:pPr>
            <w:r w:rsidRPr="00884639">
              <w:rPr>
                <w:rFonts w:asciiTheme="minorHAnsi" w:hAnsiTheme="minorHAnsi" w:cs="Arial"/>
                <w:b/>
              </w:rPr>
              <w:t>Titel:</w:t>
            </w:r>
          </w:p>
        </w:tc>
        <w:tc>
          <w:tcPr>
            <w:tcW w:w="6127" w:type="dxa"/>
          </w:tcPr>
          <w:p w:rsidR="00884639" w:rsidRPr="00884639" w:rsidRDefault="00884639" w:rsidP="00FD36DF">
            <w:pPr>
              <w:rPr>
                <w:rFonts w:asciiTheme="minorHAnsi" w:hAnsiTheme="minorHAnsi" w:cs="Arial"/>
              </w:rPr>
            </w:pPr>
            <w:r w:rsidRPr="00884639">
              <w:rPr>
                <w:rFonts w:asciiTheme="minorHAnsi" w:hAnsiTheme="minorHAnsi" w:cs="Times New Roman"/>
                <w:sz w:val="22"/>
              </w:rPr>
              <w:t>Die Gemeinsame Agrarpolitik der Europäischen Union</w:t>
            </w:r>
            <w:r w:rsidRPr="00884639">
              <w:rPr>
                <w:rFonts w:asciiTheme="minorHAnsi" w:hAnsiTheme="minorHAnsi" w:cs="Arial"/>
                <w:sz w:val="20"/>
              </w:rPr>
              <w:t xml:space="preserve"> </w:t>
            </w:r>
          </w:p>
        </w:tc>
      </w:tr>
    </w:tbl>
    <w:p w:rsidR="00C84E0F" w:rsidRPr="00884639" w:rsidRDefault="00C84E0F">
      <w:pPr>
        <w:spacing w:line="360" w:lineRule="auto"/>
        <w:jc w:val="both"/>
        <w:rPr>
          <w:rFonts w:asciiTheme="minorHAnsi" w:hAnsiTheme="minorHAnsi" w:cs="Times New Roman"/>
        </w:rPr>
      </w:pPr>
    </w:p>
    <w:p w:rsidR="00C84E0F" w:rsidRPr="00884639" w:rsidRDefault="00C84E0F">
      <w:pPr>
        <w:spacing w:line="360" w:lineRule="auto"/>
        <w:jc w:val="both"/>
        <w:rPr>
          <w:rFonts w:asciiTheme="minorHAnsi" w:hAnsiTheme="minorHAnsi" w:cs="Times New Roman"/>
        </w:rPr>
      </w:pPr>
    </w:p>
    <w:p w:rsidR="00C84E0F" w:rsidRPr="00884639" w:rsidRDefault="00FD36DF">
      <w:pPr>
        <w:rPr>
          <w:rFonts w:asciiTheme="minorHAnsi" w:hAnsiTheme="minorHAnsi"/>
        </w:rPr>
      </w:pPr>
      <w:r>
        <w:rPr>
          <w:rFonts w:asciiTheme="minorHAnsi" w:hAnsiTheme="minorHAnsi"/>
          <w:b/>
          <w:bCs/>
          <w:sz w:val="28"/>
          <w:szCs w:val="28"/>
          <w:u w:val="single"/>
        </w:rPr>
        <w:t>Die g</w:t>
      </w:r>
      <w:r w:rsidR="00C84E0F" w:rsidRPr="00884639">
        <w:rPr>
          <w:rFonts w:asciiTheme="minorHAnsi" w:hAnsiTheme="minorHAnsi"/>
          <w:b/>
          <w:bCs/>
          <w:sz w:val="28"/>
          <w:szCs w:val="28"/>
          <w:u w:val="single"/>
        </w:rPr>
        <w:t>emeinsame Agrarpolitik der EU</w:t>
      </w:r>
    </w:p>
    <w:p w:rsidR="00C84E0F" w:rsidRPr="00884639" w:rsidRDefault="00C84E0F">
      <w:pPr>
        <w:rPr>
          <w:rFonts w:asciiTheme="minorHAnsi" w:hAnsiTheme="minorHAnsi"/>
        </w:rPr>
      </w:pPr>
    </w:p>
    <w:p w:rsidR="00C84E0F" w:rsidRPr="00884639" w:rsidRDefault="00AC6299">
      <w:pPr>
        <w:numPr>
          <w:ilvl w:val="0"/>
          <w:numId w:val="2"/>
        </w:numPr>
        <w:spacing w:after="170"/>
        <w:jc w:val="both"/>
        <w:rPr>
          <w:rFonts w:asciiTheme="minorHAnsi" w:hAnsiTheme="minorHAnsi"/>
          <w:sz w:val="26"/>
          <w:szCs w:val="26"/>
        </w:rPr>
      </w:pPr>
      <w:r w:rsidRPr="00884639">
        <w:rPr>
          <w:rFonts w:asciiTheme="minorHAnsi" w:hAnsiTheme="minorHAnsi"/>
          <w:sz w:val="26"/>
          <w:szCs w:val="26"/>
        </w:rPr>
        <w:t>Beschreiben Sie die</w:t>
      </w:r>
      <w:r w:rsidR="00C84E0F" w:rsidRPr="00884639">
        <w:rPr>
          <w:rFonts w:asciiTheme="minorHAnsi" w:hAnsiTheme="minorHAnsi"/>
          <w:sz w:val="26"/>
          <w:szCs w:val="26"/>
        </w:rPr>
        <w:t xml:space="preserve"> Ziele sowie </w:t>
      </w:r>
      <w:r w:rsidRPr="00884639">
        <w:rPr>
          <w:rFonts w:asciiTheme="minorHAnsi" w:hAnsiTheme="minorHAnsi"/>
          <w:sz w:val="26"/>
          <w:szCs w:val="26"/>
        </w:rPr>
        <w:t xml:space="preserve">die </w:t>
      </w:r>
      <w:r w:rsidR="00C84E0F" w:rsidRPr="00884639">
        <w:rPr>
          <w:rFonts w:asciiTheme="minorHAnsi" w:hAnsiTheme="minorHAnsi"/>
          <w:sz w:val="26"/>
          <w:szCs w:val="26"/>
        </w:rPr>
        <w:t>Funktionsweise der GAP</w:t>
      </w:r>
      <w:r w:rsidRPr="00884639">
        <w:rPr>
          <w:rFonts w:asciiTheme="minorHAnsi" w:hAnsiTheme="minorHAnsi"/>
          <w:sz w:val="26"/>
          <w:szCs w:val="26"/>
        </w:rPr>
        <w:t>. E</w:t>
      </w:r>
      <w:r w:rsidR="00C84E0F" w:rsidRPr="00884639">
        <w:rPr>
          <w:rFonts w:asciiTheme="minorHAnsi" w:hAnsiTheme="minorHAnsi"/>
          <w:sz w:val="26"/>
          <w:szCs w:val="26"/>
        </w:rPr>
        <w:t>rgänze</w:t>
      </w:r>
      <w:r w:rsidRPr="00884639">
        <w:rPr>
          <w:rFonts w:asciiTheme="minorHAnsi" w:hAnsiTheme="minorHAnsi"/>
          <w:sz w:val="26"/>
          <w:szCs w:val="26"/>
        </w:rPr>
        <w:t>n Sie</w:t>
      </w:r>
      <w:r w:rsidR="00C84E0F" w:rsidRPr="00884639">
        <w:rPr>
          <w:rFonts w:asciiTheme="minorHAnsi" w:hAnsiTheme="minorHAnsi"/>
          <w:sz w:val="26"/>
          <w:szCs w:val="26"/>
        </w:rPr>
        <w:t xml:space="preserve"> die fehlenden Begriffe in der Grafik M1. </w:t>
      </w:r>
      <w:r w:rsidRPr="00884639">
        <w:rPr>
          <w:rFonts w:asciiTheme="minorHAnsi" w:hAnsiTheme="minorHAnsi"/>
          <w:sz w:val="26"/>
          <w:szCs w:val="26"/>
        </w:rPr>
        <w:t>Nennen Sie</w:t>
      </w:r>
      <w:r w:rsidR="00C84E0F" w:rsidRPr="00884639">
        <w:rPr>
          <w:rFonts w:asciiTheme="minorHAnsi" w:hAnsiTheme="minorHAnsi"/>
          <w:sz w:val="26"/>
          <w:szCs w:val="26"/>
        </w:rPr>
        <w:t xml:space="preserve"> die Änderungen der GAP bis zum Jahr 2020 ein!</w:t>
      </w:r>
    </w:p>
    <w:p w:rsidR="00C84E0F" w:rsidRPr="00884639" w:rsidRDefault="00AC6299" w:rsidP="00C84E0F">
      <w:pPr>
        <w:numPr>
          <w:ilvl w:val="0"/>
          <w:numId w:val="2"/>
        </w:numPr>
        <w:spacing w:after="170"/>
        <w:jc w:val="both"/>
        <w:rPr>
          <w:rFonts w:asciiTheme="minorHAnsi" w:hAnsiTheme="minorHAnsi"/>
          <w:sz w:val="26"/>
          <w:szCs w:val="26"/>
        </w:rPr>
      </w:pPr>
      <w:r w:rsidRPr="00884639">
        <w:rPr>
          <w:rFonts w:asciiTheme="minorHAnsi" w:hAnsiTheme="minorHAnsi"/>
          <w:sz w:val="26"/>
          <w:szCs w:val="26"/>
        </w:rPr>
        <w:t>Fasse die Artikel M2 und M3 kurz zusammen. Visualisiere</w:t>
      </w:r>
      <w:r w:rsidR="00884639">
        <w:rPr>
          <w:rFonts w:asciiTheme="minorHAnsi" w:hAnsiTheme="minorHAnsi"/>
          <w:sz w:val="26"/>
          <w:szCs w:val="26"/>
        </w:rPr>
        <w:t>n Sie</w:t>
      </w:r>
      <w:r w:rsidRPr="00884639">
        <w:rPr>
          <w:rFonts w:asciiTheme="minorHAnsi" w:hAnsiTheme="minorHAnsi"/>
          <w:sz w:val="26"/>
          <w:szCs w:val="26"/>
        </w:rPr>
        <w:t xml:space="preserve"> die Zusammenhänge und Auswirkungen in einem Strukturbild. </w:t>
      </w:r>
      <w:r w:rsidR="00FC737E">
        <w:rPr>
          <w:rFonts w:asciiTheme="minorHAnsi" w:hAnsiTheme="minorHAnsi"/>
          <w:sz w:val="26"/>
          <w:szCs w:val="26"/>
        </w:rPr>
        <w:t>Erläuter</w:t>
      </w:r>
      <w:r w:rsidR="00884639">
        <w:rPr>
          <w:rFonts w:asciiTheme="minorHAnsi" w:hAnsiTheme="minorHAnsi"/>
          <w:sz w:val="26"/>
          <w:szCs w:val="26"/>
        </w:rPr>
        <w:t>n Sie</w:t>
      </w:r>
      <w:r w:rsidR="00C84E0F" w:rsidRPr="00884639">
        <w:rPr>
          <w:rFonts w:asciiTheme="minorHAnsi" w:hAnsiTheme="minorHAnsi"/>
          <w:sz w:val="26"/>
          <w:szCs w:val="26"/>
        </w:rPr>
        <w:t xml:space="preserve">, wer Gewinner bzw. Verlierer der EU-Agrarpolitik sind. </w:t>
      </w:r>
      <w:bookmarkStart w:id="0" w:name="_GoBack"/>
      <w:bookmarkEnd w:id="0"/>
    </w:p>
    <w:p w:rsidR="00C84E0F" w:rsidRPr="00884639" w:rsidRDefault="00884639">
      <w:pPr>
        <w:numPr>
          <w:ilvl w:val="0"/>
          <w:numId w:val="2"/>
        </w:numPr>
        <w:spacing w:after="170"/>
        <w:jc w:val="both"/>
        <w:rPr>
          <w:rFonts w:asciiTheme="minorHAnsi" w:hAnsiTheme="minorHAnsi"/>
          <w:sz w:val="26"/>
          <w:szCs w:val="26"/>
        </w:rPr>
      </w:pPr>
      <w:r>
        <w:rPr>
          <w:rFonts w:asciiTheme="minorHAnsi" w:hAnsiTheme="minorHAnsi"/>
          <w:sz w:val="26"/>
          <w:szCs w:val="26"/>
        </w:rPr>
        <w:t>Nehmen Sie</w:t>
      </w:r>
      <w:r w:rsidR="00400F78" w:rsidRPr="00884639">
        <w:rPr>
          <w:rFonts w:asciiTheme="minorHAnsi" w:hAnsiTheme="minorHAnsi"/>
          <w:sz w:val="26"/>
          <w:szCs w:val="26"/>
        </w:rPr>
        <w:t xml:space="preserve"> mit Hilfe der Karikatur in M3 persönlich Stellung, inwieweit es sich um „Entwicklungshilfe“ handelt</w:t>
      </w:r>
      <w:r w:rsidR="00C84E0F" w:rsidRPr="00884639">
        <w:rPr>
          <w:rFonts w:asciiTheme="minorHAnsi" w:hAnsiTheme="minorHAnsi"/>
          <w:sz w:val="26"/>
          <w:szCs w:val="26"/>
        </w:rPr>
        <w:t>!</w:t>
      </w:r>
    </w:p>
    <w:p w:rsidR="00C84E0F" w:rsidRPr="00884639" w:rsidRDefault="00400F78">
      <w:pPr>
        <w:spacing w:after="170"/>
        <w:jc w:val="both"/>
        <w:rPr>
          <w:rFonts w:asciiTheme="minorHAnsi" w:hAnsiTheme="minorHAnsi"/>
        </w:rPr>
      </w:pPr>
      <w:r w:rsidRPr="00884639">
        <w:rPr>
          <w:rFonts w:asciiTheme="minorHAnsi" w:hAnsiTheme="minorHAnsi"/>
          <w:b/>
          <w:bCs/>
          <w:sz w:val="26"/>
          <w:szCs w:val="26"/>
        </w:rPr>
        <w:br w:type="page"/>
      </w:r>
      <w:r w:rsidR="00C84E0F" w:rsidRPr="00884639">
        <w:rPr>
          <w:rFonts w:asciiTheme="minorHAnsi" w:hAnsiTheme="minorHAnsi"/>
          <w:b/>
          <w:bCs/>
          <w:sz w:val="26"/>
          <w:szCs w:val="26"/>
        </w:rPr>
        <w:lastRenderedPageBreak/>
        <w:t>M1:</w:t>
      </w:r>
    </w:p>
    <w:p w:rsidR="00C84E0F" w:rsidRPr="00884639" w:rsidRDefault="0057235B">
      <w:pPr>
        <w:spacing w:after="170"/>
        <w:jc w:val="both"/>
        <w:rPr>
          <w:rFonts w:asciiTheme="minorHAnsi" w:hAnsiTheme="minorHAnsi"/>
          <w:sz w:val="26"/>
          <w:szCs w:val="26"/>
        </w:rPr>
      </w:pPr>
      <w:r w:rsidRPr="00884639">
        <w:rPr>
          <w:rFonts w:asciiTheme="minorHAnsi" w:hAnsiTheme="minorHAnsi"/>
          <w:noProof/>
          <w:lang w:eastAsia="de-AT" w:bidi="ar-SA"/>
        </w:rPr>
        <w:drawing>
          <wp:anchor distT="0" distB="0" distL="0" distR="0" simplePos="0" relativeHeight="251657728" behindDoc="0" locked="0" layoutInCell="1" allowOverlap="1">
            <wp:simplePos x="0" y="0"/>
            <wp:positionH relativeFrom="column">
              <wp:align>center</wp:align>
            </wp:positionH>
            <wp:positionV relativeFrom="paragraph">
              <wp:posOffset>107950</wp:posOffset>
            </wp:positionV>
            <wp:extent cx="6118860" cy="400367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4003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84E0F" w:rsidRPr="00884639" w:rsidRDefault="00C84E0F">
      <w:pPr>
        <w:spacing w:after="170"/>
        <w:jc w:val="both"/>
        <w:rPr>
          <w:rFonts w:asciiTheme="minorHAnsi" w:hAnsiTheme="minorHAnsi"/>
          <w:sz w:val="26"/>
          <w:szCs w:val="26"/>
        </w:rPr>
      </w:pPr>
    </w:p>
    <w:p w:rsidR="00C84E0F" w:rsidRPr="00884639" w:rsidRDefault="00C84E0F">
      <w:pPr>
        <w:pageBreakBefore/>
        <w:spacing w:after="170"/>
        <w:jc w:val="both"/>
        <w:rPr>
          <w:rFonts w:asciiTheme="minorHAnsi" w:hAnsiTheme="minorHAnsi" w:cs="Cambria"/>
          <w:b/>
          <w:bCs/>
          <w:sz w:val="26"/>
          <w:szCs w:val="26"/>
          <w:u w:val="single"/>
        </w:rPr>
      </w:pPr>
      <w:r w:rsidRPr="00884639">
        <w:rPr>
          <w:rFonts w:asciiTheme="minorHAnsi" w:hAnsiTheme="minorHAnsi"/>
          <w:b/>
          <w:bCs/>
          <w:sz w:val="26"/>
          <w:szCs w:val="26"/>
        </w:rPr>
        <w:lastRenderedPageBreak/>
        <w:t>M2:</w:t>
      </w:r>
    </w:p>
    <w:p w:rsidR="00C84E0F" w:rsidRPr="00884639" w:rsidRDefault="00C84E0F">
      <w:pPr>
        <w:spacing w:after="170"/>
        <w:jc w:val="both"/>
        <w:rPr>
          <w:rFonts w:asciiTheme="minorHAnsi" w:hAnsiTheme="minorHAnsi" w:cs="Cambria"/>
          <w:sz w:val="22"/>
          <w:szCs w:val="22"/>
        </w:rPr>
      </w:pPr>
      <w:r w:rsidRPr="00884639">
        <w:rPr>
          <w:rFonts w:asciiTheme="minorHAnsi" w:hAnsiTheme="minorHAnsi" w:cs="Cambria"/>
          <w:b/>
          <w:bCs/>
          <w:sz w:val="26"/>
          <w:szCs w:val="26"/>
          <w:u w:val="single"/>
        </w:rPr>
        <w:t>Die Rolle von Ausfuhrerstattungen in der Gemeinsamen Agrarpolitik der EU</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Mithilfe von Ausfuhrerstattungen gleicht die Europäische Union (EU) beim Export von Agrarwaren in Drittländer die Preisunterschiede zwischen dem EU-Binnenmarkt und Weltmarkt aus.</w:t>
      </w:r>
    </w:p>
    <w:p w:rsidR="00C84E0F" w:rsidRPr="00884639" w:rsidRDefault="00C84E0F">
      <w:pPr>
        <w:spacing w:line="360" w:lineRule="auto"/>
        <w:jc w:val="both"/>
        <w:rPr>
          <w:rFonts w:asciiTheme="minorHAnsi" w:hAnsiTheme="minorHAnsi" w:cs="Cambria"/>
          <w:sz w:val="22"/>
          <w:szCs w:val="22"/>
        </w:rPr>
      </w:pP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b/>
          <w:bCs/>
          <w:sz w:val="22"/>
          <w:szCs w:val="22"/>
          <w:u w:val="single"/>
        </w:rPr>
        <w:t>Die Bedeutung und Wirkung von Ausfuhrerstattungen</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Die Ausfuhrerstattungen sind ein Instrument der Gemeinsamen Agrarpolitik der EU. Sie dienen dazu, den Unterschied zwischen den höheren Preisen auf dem EU-Binnenmarkt und den niedrigeren Preisen auf dem Weltmarkt beim Export in Drittländer auszugleichen. Der Exporteur erhält diesen Differenzbetrag aus öffentlichen Mitteln, nämlich aus dem Europäischen Garantiefonds für die Landwirtschaft (EGFL). Ziel ist die Stärkung der Wettbewerbsfähigkeit von EU-Agrarwaren auf dem Weltmarkt.</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Die EU hat sich gegenüber der Welthandelsorganisation (WTO) zur wert- und mengenmäßigen Verringerung verpflichtet. Im Laufe der letzten Jahre wurden die EU-Ausfuhrerstattungen drastisch reduziert.</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 xml:space="preserve">Durch die GAP-Reform des Europäischen Parlaments und des Rates, die seit 1. Jänner 2014 gilt,  wurden die Ausfuhrerstattungen als Standard-Subvention abgeschafft. Allerdings besteht die Möglichkeit, dieses Instrument in Krisensituationen wie beispielsweise dem dramatischen Verfall der Milchpreise 2009 wieder zu aktivieren. </w:t>
      </w:r>
    </w:p>
    <w:p w:rsidR="00C84E0F" w:rsidRPr="00884639" w:rsidRDefault="00C84E0F">
      <w:pPr>
        <w:spacing w:line="360" w:lineRule="auto"/>
        <w:jc w:val="both"/>
        <w:rPr>
          <w:rFonts w:asciiTheme="minorHAnsi" w:hAnsiTheme="minorHAnsi" w:cs="Cambria"/>
          <w:b/>
          <w:bCs/>
          <w:sz w:val="22"/>
          <w:szCs w:val="22"/>
          <w:u w:val="single"/>
        </w:rPr>
      </w:pPr>
      <w:r w:rsidRPr="00884639">
        <w:rPr>
          <w:rFonts w:asciiTheme="minorHAnsi" w:hAnsiTheme="minorHAnsi" w:cs="Cambria"/>
          <w:sz w:val="22"/>
          <w:szCs w:val="22"/>
        </w:rPr>
        <w:t xml:space="preserve"> </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b/>
          <w:bCs/>
          <w:sz w:val="22"/>
          <w:szCs w:val="22"/>
          <w:u w:val="single"/>
        </w:rPr>
        <w:t>Arten von Ausfuhrerstattungen</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Es gibt Ausfuhrerstattungen, deren Höhe unabhängig vom Bestimmungsland ist, und solche, bei denen es darauf ankommt, in welches Land die Ware ausgeführt wird. Bei letzteren kann die Ausfuhrerstattung nur dann bezogen werden, wenn ein Ankunftsnachweis vorgelegt wird (in der Regel in Form von Zolldokumenten oder Bescheinigungen über die Entladung und Einfuhr).</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 xml:space="preserve">Die Höhe der Ausfuhrerstattungen </w:t>
      </w:r>
      <w:proofErr w:type="gramStart"/>
      <w:r w:rsidRPr="00884639">
        <w:rPr>
          <w:rFonts w:asciiTheme="minorHAnsi" w:hAnsiTheme="minorHAnsi" w:cs="Cambria"/>
          <w:sz w:val="22"/>
          <w:szCs w:val="22"/>
        </w:rPr>
        <w:t>werden</w:t>
      </w:r>
      <w:proofErr w:type="gramEnd"/>
      <w:r w:rsidRPr="00884639">
        <w:rPr>
          <w:rFonts w:asciiTheme="minorHAnsi" w:hAnsiTheme="minorHAnsi" w:cs="Cambria"/>
          <w:sz w:val="22"/>
          <w:szCs w:val="22"/>
        </w:rPr>
        <w:t xml:space="preserve"> von der Europäischen Kommission (EK) unter Berücksichtigung des Preisniveaus festgesetzt. Die Veröffentlichung erfolgt in Form von Festsetzungsverordnungen im Amtsblatt der Europäischen Union.</w:t>
      </w:r>
    </w:p>
    <w:p w:rsidR="00C84E0F" w:rsidRPr="00884639" w:rsidRDefault="00C84E0F">
      <w:pPr>
        <w:spacing w:line="360" w:lineRule="auto"/>
        <w:jc w:val="both"/>
        <w:rPr>
          <w:rFonts w:asciiTheme="minorHAnsi" w:hAnsiTheme="minorHAnsi" w:cs="Cambria"/>
          <w:b/>
          <w:bCs/>
          <w:sz w:val="22"/>
          <w:szCs w:val="22"/>
          <w:u w:val="single"/>
        </w:rPr>
      </w:pPr>
      <w:r w:rsidRPr="00884639">
        <w:rPr>
          <w:rFonts w:asciiTheme="minorHAnsi" w:hAnsiTheme="minorHAnsi" w:cs="Cambria"/>
          <w:sz w:val="22"/>
          <w:szCs w:val="22"/>
        </w:rPr>
        <w:t xml:space="preserve"> </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b/>
          <w:bCs/>
          <w:sz w:val="22"/>
          <w:szCs w:val="22"/>
          <w:u w:val="single"/>
        </w:rPr>
        <w:t>Der betroffene Warenkreis</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Getreide, Reis, Zucker, Rindfleisch, Milch und Milcherzeugnisse, Schweinefleisch, Eier, Geflügelfleisch</w:t>
      </w:r>
    </w:p>
    <w:p w:rsidR="00C84E0F" w:rsidRPr="00884639" w:rsidRDefault="00C84E0F">
      <w:pPr>
        <w:spacing w:line="360" w:lineRule="auto"/>
        <w:jc w:val="both"/>
        <w:rPr>
          <w:rFonts w:asciiTheme="minorHAnsi" w:hAnsiTheme="minorHAnsi" w:cs="Cambria"/>
          <w:sz w:val="22"/>
          <w:szCs w:val="22"/>
        </w:rPr>
      </w:pPr>
    </w:p>
    <w:p w:rsidR="00C84E0F" w:rsidRPr="00884639" w:rsidRDefault="00C84E0F">
      <w:pPr>
        <w:spacing w:line="360" w:lineRule="auto"/>
        <w:jc w:val="both"/>
        <w:rPr>
          <w:rFonts w:asciiTheme="minorHAnsi" w:hAnsiTheme="minorHAnsi" w:cs="Cambria"/>
          <w:sz w:val="22"/>
          <w:szCs w:val="22"/>
        </w:rPr>
      </w:pPr>
    </w:p>
    <w:p w:rsidR="00C84E0F" w:rsidRPr="00884639" w:rsidRDefault="00C84E0F" w:rsidP="00FD36DF">
      <w:pPr>
        <w:spacing w:after="170" w:line="100" w:lineRule="atLeast"/>
        <w:rPr>
          <w:rFonts w:asciiTheme="minorHAnsi" w:hAnsiTheme="minorHAnsi"/>
          <w:b/>
          <w:bCs/>
          <w:sz w:val="26"/>
          <w:szCs w:val="26"/>
        </w:rPr>
      </w:pPr>
      <w:r w:rsidRPr="00884639">
        <w:rPr>
          <w:rFonts w:asciiTheme="minorHAnsi" w:hAnsiTheme="minorHAnsi" w:cs="Cambria"/>
          <w:b/>
          <w:bCs/>
          <w:sz w:val="20"/>
          <w:szCs w:val="20"/>
          <w:u w:val="single"/>
        </w:rPr>
        <w:t>Quelle</w:t>
      </w:r>
      <w:r w:rsidRPr="00884639">
        <w:rPr>
          <w:rFonts w:asciiTheme="minorHAnsi" w:hAnsiTheme="minorHAnsi" w:cs="Cambria"/>
          <w:sz w:val="20"/>
          <w:szCs w:val="20"/>
        </w:rPr>
        <w:t>: Ministerium für ein lebenswertes Österreich: http://www.bmlfuw.gv.at/land/eu-international/aussenhandel/erstattungen.html</w:t>
      </w:r>
    </w:p>
    <w:p w:rsidR="00C84E0F" w:rsidRPr="00884639" w:rsidRDefault="00884639">
      <w:pPr>
        <w:spacing w:after="170"/>
        <w:jc w:val="both"/>
        <w:rPr>
          <w:rFonts w:asciiTheme="minorHAnsi" w:hAnsiTheme="minorHAnsi"/>
          <w:sz w:val="26"/>
          <w:szCs w:val="26"/>
        </w:rPr>
      </w:pPr>
      <w:r>
        <w:rPr>
          <w:rFonts w:asciiTheme="minorHAnsi" w:hAnsiTheme="minorHAnsi"/>
          <w:b/>
          <w:bCs/>
          <w:sz w:val="26"/>
          <w:szCs w:val="26"/>
        </w:rPr>
        <w:br w:type="page"/>
      </w:r>
      <w:r w:rsidR="00C84E0F" w:rsidRPr="00884639">
        <w:rPr>
          <w:rFonts w:asciiTheme="minorHAnsi" w:hAnsiTheme="minorHAnsi"/>
          <w:b/>
          <w:bCs/>
          <w:sz w:val="26"/>
          <w:szCs w:val="26"/>
        </w:rPr>
        <w:lastRenderedPageBreak/>
        <w:t>M3:</w:t>
      </w:r>
    </w:p>
    <w:p w:rsidR="00C84E0F" w:rsidRPr="00884639" w:rsidRDefault="00C84E0F">
      <w:pPr>
        <w:spacing w:line="360" w:lineRule="auto"/>
        <w:rPr>
          <w:rFonts w:asciiTheme="minorHAnsi" w:hAnsiTheme="minorHAnsi"/>
          <w:sz w:val="26"/>
          <w:szCs w:val="26"/>
        </w:rPr>
      </w:pPr>
    </w:p>
    <w:p w:rsidR="00C84E0F" w:rsidRPr="00884639" w:rsidRDefault="00C84E0F">
      <w:pPr>
        <w:spacing w:line="360" w:lineRule="auto"/>
        <w:rPr>
          <w:rFonts w:asciiTheme="minorHAnsi" w:hAnsiTheme="minorHAnsi" w:cs="Cambria"/>
          <w:b/>
          <w:bCs/>
          <w:sz w:val="26"/>
          <w:szCs w:val="26"/>
          <w:u w:val="single"/>
        </w:rPr>
      </w:pPr>
      <w:r w:rsidRPr="00884639">
        <w:rPr>
          <w:rFonts w:asciiTheme="minorHAnsi" w:hAnsiTheme="minorHAnsi" w:cs="Cambria"/>
          <w:b/>
          <w:bCs/>
          <w:sz w:val="26"/>
          <w:szCs w:val="26"/>
          <w:u w:val="single"/>
        </w:rPr>
        <w:t>Milchwirtschaft in Burkina Faso</w:t>
      </w:r>
    </w:p>
    <w:p w:rsidR="00C84E0F" w:rsidRPr="00884639" w:rsidRDefault="00C84E0F">
      <w:pPr>
        <w:rPr>
          <w:rFonts w:asciiTheme="minorHAnsi" w:hAnsiTheme="minorHAnsi"/>
        </w:rPr>
        <w:sectPr w:rsidR="00C84E0F" w:rsidRPr="00884639">
          <w:footerReference w:type="default" r:id="rId9"/>
          <w:pgSz w:w="11906" w:h="16838"/>
          <w:pgMar w:top="1134" w:right="1134" w:bottom="1134" w:left="1134" w:header="720" w:footer="720" w:gutter="0"/>
          <w:cols w:space="720"/>
          <w:docGrid w:linePitch="360"/>
        </w:sectPr>
      </w:pP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lastRenderedPageBreak/>
        <w:t xml:space="preserve">„Ein Liter burkinische Rohmilch kostet bei Lieferung an die Molkerei umgerechnet ca. 45 Cent, ab Molkerei kostet ein Liter heimische Frischmilch ca. umgerechnete 75 Cent. Ein Liter wiederaufbereitete Milch hergestellt aus Milchpulver aus der EU </w:t>
      </w:r>
      <w:proofErr w:type="gramStart"/>
      <w:r w:rsidRPr="00884639">
        <w:rPr>
          <w:rFonts w:asciiTheme="minorHAnsi" w:hAnsiTheme="minorHAnsi" w:cs="Cambria"/>
          <w:sz w:val="22"/>
          <w:szCs w:val="22"/>
        </w:rPr>
        <w:t>kostet</w:t>
      </w:r>
      <w:proofErr w:type="gramEnd"/>
      <w:r w:rsidRPr="00884639">
        <w:rPr>
          <w:rFonts w:asciiTheme="minorHAnsi" w:hAnsiTheme="minorHAnsi" w:cs="Cambria"/>
          <w:sz w:val="22"/>
          <w:szCs w:val="22"/>
        </w:rPr>
        <w:t xml:space="preserve"> hingegen umgerechnet nur ca. 30 Cent. Dieser Umstand wirkt sich auf die Milchwirtschaft des Landes aus.</w:t>
      </w:r>
    </w:p>
    <w:p w:rsidR="00C84E0F" w:rsidRPr="00884639" w:rsidRDefault="00C84E0F">
      <w:pPr>
        <w:spacing w:line="360" w:lineRule="auto"/>
        <w:jc w:val="both"/>
        <w:rPr>
          <w:rFonts w:asciiTheme="minorHAnsi" w:hAnsiTheme="minorHAnsi" w:cs="Cambria"/>
          <w:sz w:val="22"/>
          <w:szCs w:val="22"/>
        </w:rPr>
      </w:pP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 xml:space="preserve">Es gibt in Burkina Faso keine Milchindustrie, die diesen Namen wirklich verdient. Seit der Unabhängigkeit wird das Land </w:t>
      </w:r>
      <w:r w:rsidR="00AC6299" w:rsidRPr="00884639">
        <w:rPr>
          <w:rFonts w:asciiTheme="minorHAnsi" w:hAnsiTheme="minorHAnsi" w:cs="Cambria"/>
          <w:sz w:val="22"/>
          <w:szCs w:val="22"/>
        </w:rPr>
        <w:t xml:space="preserve">mit importierter Milch </w:t>
      </w:r>
      <w:r w:rsidRPr="00884639">
        <w:rPr>
          <w:rFonts w:asciiTheme="minorHAnsi" w:hAnsiTheme="minorHAnsi" w:cs="Cambria"/>
          <w:sz w:val="22"/>
          <w:szCs w:val="22"/>
        </w:rPr>
        <w:t xml:space="preserve">überschwemmt, was jede nennenswerte </w:t>
      </w:r>
      <w:r w:rsidRPr="00884639">
        <w:rPr>
          <w:rFonts w:asciiTheme="minorHAnsi" w:hAnsiTheme="minorHAnsi" w:cs="Cambria"/>
          <w:sz w:val="22"/>
          <w:szCs w:val="22"/>
        </w:rPr>
        <w:lastRenderedPageBreak/>
        <w:t>Entwicklung der Milchbranche bis heute verhindert hat. Obwohl es eine Million Viehhalter gibt (10% der Gesamtbevölkerung), die Milch produzieren, wird der heimische Joghurt größtenteils aus importierter Milch hergestellt.</w:t>
      </w: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sz w:val="22"/>
          <w:szCs w:val="22"/>
        </w:rPr>
        <w:t>Heimische Frischmilch ist mittlerweile zu einem Luxusprodukt geworden. Mit Ausnahme der Viehhalterfamilien, die 80% der burkinischen Produktion selbst verbrauchen, steht Frischmilch nur sehr begrenzt zur Verfügung. Außerhalb von größeren Städten, in denen es Kleinstmolkereien gibt, findet man in Burkina Faso so gut wie gar keine Frischmilch.</w:t>
      </w:r>
    </w:p>
    <w:p w:rsidR="00AC6299" w:rsidRPr="00884639" w:rsidRDefault="00AC6299">
      <w:pPr>
        <w:spacing w:line="360" w:lineRule="auto"/>
        <w:jc w:val="both"/>
        <w:rPr>
          <w:rFonts w:asciiTheme="minorHAnsi" w:hAnsiTheme="minorHAnsi" w:cs="Cambria"/>
          <w:sz w:val="22"/>
          <w:szCs w:val="22"/>
        </w:rPr>
        <w:sectPr w:rsidR="00AC6299" w:rsidRPr="00884639" w:rsidSect="00AC6299">
          <w:type w:val="continuous"/>
          <w:pgSz w:w="11906" w:h="16838"/>
          <w:pgMar w:top="1134" w:right="1134" w:bottom="1134" w:left="1134" w:header="720" w:footer="720" w:gutter="0"/>
          <w:cols w:num="2" w:space="454"/>
          <w:docGrid w:linePitch="360"/>
        </w:sectPr>
      </w:pPr>
    </w:p>
    <w:p w:rsidR="00C84E0F" w:rsidRPr="00884639" w:rsidRDefault="00C84E0F">
      <w:pPr>
        <w:spacing w:line="360" w:lineRule="auto"/>
        <w:jc w:val="both"/>
        <w:rPr>
          <w:rFonts w:asciiTheme="minorHAnsi" w:hAnsiTheme="minorHAnsi" w:cs="Cambria"/>
          <w:sz w:val="22"/>
          <w:szCs w:val="22"/>
        </w:rPr>
      </w:pPr>
    </w:p>
    <w:p w:rsidR="00C84E0F" w:rsidRPr="00884639" w:rsidRDefault="00C84E0F">
      <w:pPr>
        <w:spacing w:line="360" w:lineRule="auto"/>
        <w:jc w:val="both"/>
        <w:rPr>
          <w:rFonts w:asciiTheme="minorHAnsi" w:hAnsiTheme="minorHAnsi" w:cs="Cambria"/>
          <w:sz w:val="22"/>
          <w:szCs w:val="22"/>
        </w:rPr>
      </w:pPr>
      <w:r w:rsidRPr="00884639">
        <w:rPr>
          <w:rFonts w:asciiTheme="minorHAnsi" w:hAnsiTheme="minorHAnsi" w:cs="Cambria"/>
          <w:b/>
          <w:bCs/>
          <w:sz w:val="22"/>
          <w:szCs w:val="22"/>
          <w:u w:val="single"/>
        </w:rPr>
        <w:t>Quelle:</w:t>
      </w:r>
      <w:r w:rsidRPr="00884639">
        <w:rPr>
          <w:rFonts w:asciiTheme="minorHAnsi" w:hAnsiTheme="minorHAnsi" w:cs="Cambria"/>
          <w:sz w:val="22"/>
          <w:szCs w:val="22"/>
        </w:rPr>
        <w:t xml:space="preserve"> Praxis Geographie 12/2009: Seite 42 (eigene Überarbeitung).</w:t>
      </w:r>
    </w:p>
    <w:p w:rsidR="00C84E0F" w:rsidRPr="00884639" w:rsidRDefault="00C84E0F">
      <w:pPr>
        <w:spacing w:line="360" w:lineRule="auto"/>
        <w:jc w:val="both"/>
        <w:rPr>
          <w:rFonts w:asciiTheme="minorHAnsi" w:hAnsiTheme="minorHAnsi" w:cs="Cambria"/>
          <w:sz w:val="22"/>
          <w:szCs w:val="22"/>
        </w:rPr>
      </w:pPr>
    </w:p>
    <w:p w:rsidR="00AC6299" w:rsidRPr="00884639" w:rsidRDefault="00AC6299">
      <w:pPr>
        <w:spacing w:line="360" w:lineRule="auto"/>
        <w:jc w:val="both"/>
        <w:rPr>
          <w:rFonts w:asciiTheme="minorHAnsi" w:hAnsiTheme="minorHAnsi" w:cs="Cambria"/>
          <w:sz w:val="22"/>
          <w:szCs w:val="22"/>
        </w:rPr>
      </w:pPr>
    </w:p>
    <w:p w:rsidR="00AC6299" w:rsidRPr="00884639" w:rsidRDefault="00AC6299">
      <w:pPr>
        <w:spacing w:line="360" w:lineRule="auto"/>
        <w:jc w:val="both"/>
        <w:rPr>
          <w:rFonts w:asciiTheme="minorHAnsi" w:hAnsiTheme="minorHAnsi" w:cs="Cambria"/>
          <w:sz w:val="22"/>
          <w:szCs w:val="22"/>
        </w:rPr>
      </w:pPr>
    </w:p>
    <w:p w:rsidR="00C84E0F" w:rsidRPr="00884639" w:rsidRDefault="00C84E0F" w:rsidP="00AC6299">
      <w:pPr>
        <w:spacing w:after="170" w:line="360" w:lineRule="auto"/>
        <w:jc w:val="both"/>
        <w:rPr>
          <w:rFonts w:asciiTheme="minorHAnsi" w:hAnsiTheme="minorHAnsi" w:cs="Cambria"/>
          <w:sz w:val="22"/>
          <w:szCs w:val="22"/>
        </w:rPr>
      </w:pPr>
      <w:r w:rsidRPr="00884639">
        <w:rPr>
          <w:rFonts w:asciiTheme="minorHAnsi" w:hAnsiTheme="minorHAnsi" w:cs="Cambria"/>
          <w:b/>
          <w:bCs/>
          <w:sz w:val="26"/>
          <w:szCs w:val="26"/>
        </w:rPr>
        <w:t>M4:</w:t>
      </w:r>
      <w:r w:rsidR="00512BEE">
        <w:rPr>
          <w:rFonts w:asciiTheme="minorHAnsi" w:hAnsiTheme="minorHAnsi" w:cs="Cambria"/>
          <w:b/>
          <w:bCs/>
          <w:sz w:val="26"/>
          <w:szCs w:val="26"/>
        </w:rPr>
        <w:t xml:space="preserve"> EU-Agrarkrieg - Karikatur</w:t>
      </w:r>
    </w:p>
    <w:p w:rsidR="00AC6299" w:rsidRPr="00512BEE" w:rsidRDefault="00C84E0F" w:rsidP="00512BEE">
      <w:pPr>
        <w:spacing w:after="170" w:line="360" w:lineRule="auto"/>
        <w:rPr>
          <w:rFonts w:asciiTheme="minorHAnsi" w:hAnsiTheme="minorHAnsi"/>
          <w:sz w:val="26"/>
          <w:szCs w:val="26"/>
        </w:rPr>
        <w:sectPr w:rsidR="00AC6299" w:rsidRPr="00512BEE">
          <w:type w:val="continuous"/>
          <w:pgSz w:w="11906" w:h="16838"/>
          <w:pgMar w:top="1134" w:right="1134" w:bottom="1134" w:left="1134" w:header="720" w:footer="720" w:gutter="0"/>
          <w:cols w:space="720"/>
          <w:docGrid w:linePitch="360"/>
        </w:sectPr>
      </w:pPr>
      <w:r w:rsidRPr="00884639">
        <w:rPr>
          <w:rFonts w:asciiTheme="minorHAnsi" w:hAnsiTheme="minorHAnsi" w:cs="Cambria"/>
          <w:sz w:val="22"/>
          <w:szCs w:val="22"/>
        </w:rPr>
        <w:t xml:space="preserve">Quelle: </w:t>
      </w:r>
      <w:hyperlink r:id="rId10" w:history="1">
        <w:r w:rsidR="00512BEE" w:rsidRPr="009513E5">
          <w:rPr>
            <w:rStyle w:val="Hyperlink"/>
            <w:rFonts w:asciiTheme="minorHAnsi" w:hAnsiTheme="minorHAnsi" w:cs="Cambria"/>
            <w:sz w:val="22"/>
            <w:szCs w:val="22"/>
          </w:rPr>
          <w:t>http://www.bio-wasserstoff.de/h2/WTO_IWF/EU-Agrarkrieg.gif</w:t>
        </w:r>
      </w:hyperlink>
      <w:r w:rsidR="00512BEE">
        <w:rPr>
          <w:rFonts w:asciiTheme="minorHAnsi" w:hAnsiTheme="minorHAnsi" w:cs="Cambria"/>
          <w:sz w:val="22"/>
          <w:szCs w:val="22"/>
        </w:rPr>
        <w:t xml:space="preserve"> </w:t>
      </w:r>
    </w:p>
    <w:p w:rsidR="00AC6299" w:rsidRPr="00884639" w:rsidRDefault="00945B04" w:rsidP="00AC6299">
      <w:pPr>
        <w:spacing w:line="360" w:lineRule="auto"/>
        <w:jc w:val="both"/>
        <w:rPr>
          <w:rFonts w:asciiTheme="minorHAnsi" w:hAnsiTheme="minorHAnsi" w:cs="Times New Roman"/>
          <w:b/>
          <w:bCs/>
        </w:rPr>
      </w:pPr>
      <w:r>
        <w:rPr>
          <w:rFonts w:asciiTheme="minorHAnsi" w:hAnsiTheme="minorHAnsi" w:cs="Times New Roman"/>
          <w:b/>
          <w:bCs/>
          <w:u w:val="single"/>
        </w:rPr>
        <w:lastRenderedPageBreak/>
        <w:t>Angaben zum Material</w:t>
      </w:r>
      <w:r w:rsidR="00AC6299" w:rsidRPr="00884639">
        <w:rPr>
          <w:rFonts w:asciiTheme="minorHAnsi" w:hAnsiTheme="minorHAnsi" w:cs="Times New Roman"/>
          <w:b/>
          <w:bCs/>
          <w:u w:val="single"/>
        </w:rPr>
        <w:t>:</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b/>
          <w:bCs/>
        </w:rPr>
        <w:t>M1:</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Name:</w:t>
      </w:r>
      <w:r w:rsidRPr="00884639">
        <w:rPr>
          <w:rFonts w:asciiTheme="minorHAnsi" w:hAnsiTheme="minorHAnsi" w:cs="Times New Roman"/>
        </w:rPr>
        <w:tab/>
      </w:r>
      <w:r w:rsidRPr="00884639">
        <w:rPr>
          <w:rFonts w:asciiTheme="minorHAnsi" w:hAnsiTheme="minorHAnsi" w:cs="Times New Roman"/>
        </w:rPr>
        <w:tab/>
        <w:t>Politikbereich GAP</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Art:</w:t>
      </w:r>
      <w:r w:rsidRPr="00884639">
        <w:rPr>
          <w:rFonts w:asciiTheme="minorHAnsi" w:hAnsiTheme="minorHAnsi" w:cs="Times New Roman"/>
        </w:rPr>
        <w:tab/>
      </w:r>
      <w:r w:rsidRPr="00884639">
        <w:rPr>
          <w:rFonts w:asciiTheme="minorHAnsi" w:hAnsiTheme="minorHAnsi" w:cs="Times New Roman"/>
        </w:rPr>
        <w:tab/>
        <w:t>andere Bilder</w:t>
      </w:r>
    </w:p>
    <w:p w:rsidR="00AC6299" w:rsidRPr="00884639" w:rsidRDefault="00AC6299" w:rsidP="00400F78">
      <w:pPr>
        <w:spacing w:line="360" w:lineRule="auto"/>
        <w:ind w:left="1560" w:hanging="1560"/>
        <w:jc w:val="both"/>
        <w:rPr>
          <w:rFonts w:asciiTheme="minorHAnsi" w:hAnsiTheme="minorHAnsi"/>
        </w:rPr>
      </w:pPr>
      <w:r w:rsidRPr="00884639">
        <w:rPr>
          <w:rFonts w:asciiTheme="minorHAnsi" w:hAnsiTheme="minorHAnsi" w:cs="Times New Roman"/>
        </w:rPr>
        <w:t>Quelle:</w:t>
      </w:r>
      <w:r w:rsidRPr="00884639">
        <w:rPr>
          <w:rFonts w:asciiTheme="minorHAnsi" w:hAnsiTheme="minorHAnsi" w:cs="Times New Roman"/>
        </w:rPr>
        <w:tab/>
      </w:r>
      <w:proofErr w:type="spellStart"/>
      <w:r w:rsidRPr="00884639">
        <w:rPr>
          <w:rFonts w:asciiTheme="minorHAnsi" w:hAnsiTheme="minorHAnsi" w:cs="Times New Roman"/>
          <w:smallCaps/>
        </w:rPr>
        <w:t>europe</w:t>
      </w:r>
      <w:proofErr w:type="spellEnd"/>
      <w:r w:rsidRPr="00884639">
        <w:rPr>
          <w:rFonts w:asciiTheme="minorHAnsi" w:hAnsiTheme="minorHAnsi" w:cs="Times New Roman"/>
          <w:smallCaps/>
        </w:rPr>
        <w:t xml:space="preserve"> </w:t>
      </w:r>
      <w:proofErr w:type="spellStart"/>
      <w:r w:rsidRPr="00884639">
        <w:rPr>
          <w:rFonts w:asciiTheme="minorHAnsi" w:hAnsiTheme="minorHAnsi" w:cs="Times New Roman"/>
          <w:smallCaps/>
        </w:rPr>
        <w:t>direct</w:t>
      </w:r>
      <w:proofErr w:type="spellEnd"/>
      <w:r w:rsidRPr="00884639">
        <w:rPr>
          <w:rFonts w:asciiTheme="minorHAnsi" w:hAnsiTheme="minorHAnsi" w:cs="Times New Roman"/>
          <w:smallCaps/>
        </w:rPr>
        <w:t xml:space="preserve"> Steinfurt (</w:t>
      </w:r>
      <w:r w:rsidRPr="00884639">
        <w:rPr>
          <w:rFonts w:asciiTheme="minorHAnsi" w:hAnsiTheme="minorHAnsi" w:cs="Times New Roman"/>
        </w:rPr>
        <w:t>Hrsg.) (o.J.): Poli</w:t>
      </w:r>
      <w:r w:rsidR="00400F78" w:rsidRPr="00884639">
        <w:rPr>
          <w:rFonts w:asciiTheme="minorHAnsi" w:hAnsiTheme="minorHAnsi" w:cs="Times New Roman"/>
        </w:rPr>
        <w:t>tikbereich GAP. http://www.eu-</w:t>
      </w:r>
      <w:r w:rsidRPr="00884639">
        <w:rPr>
          <w:rFonts w:asciiTheme="minorHAnsi" w:hAnsiTheme="minorHAnsi" w:cs="Times New Roman"/>
        </w:rPr>
        <w:t>direct.info/coRED/_data/content/20100618112435_b</w:t>
      </w:r>
      <w:r w:rsidR="00400F78" w:rsidRPr="00884639">
        <w:rPr>
          <w:rFonts w:asciiTheme="minorHAnsi" w:hAnsiTheme="minorHAnsi" w:cs="Times New Roman"/>
        </w:rPr>
        <w:t xml:space="preserve">ild_349_1_gross.jpg (Zugriff: </w:t>
      </w:r>
      <w:r w:rsidRPr="00884639">
        <w:rPr>
          <w:rFonts w:asciiTheme="minorHAnsi" w:hAnsiTheme="minorHAnsi" w:cs="Times New Roman"/>
        </w:rPr>
        <w:t>2015-03-27).</w:t>
      </w:r>
    </w:p>
    <w:p w:rsidR="00AC6299" w:rsidRPr="00884639" w:rsidRDefault="00AC6299" w:rsidP="00AC6299">
      <w:pPr>
        <w:spacing w:line="360" w:lineRule="auto"/>
        <w:jc w:val="both"/>
        <w:rPr>
          <w:rFonts w:asciiTheme="minorHAnsi" w:hAnsiTheme="minorHAnsi"/>
        </w:rPr>
      </w:pP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b/>
          <w:bCs/>
        </w:rPr>
        <w:t>M2:</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Name:</w:t>
      </w:r>
      <w:r w:rsidRPr="00884639">
        <w:rPr>
          <w:rFonts w:asciiTheme="minorHAnsi" w:hAnsiTheme="minorHAnsi" w:cs="Times New Roman"/>
        </w:rPr>
        <w:tab/>
      </w:r>
      <w:r w:rsidRPr="00884639">
        <w:rPr>
          <w:rFonts w:asciiTheme="minorHAnsi" w:hAnsiTheme="minorHAnsi" w:cs="Times New Roman"/>
        </w:rPr>
        <w:tab/>
        <w:t>Die Rolle von Ausfuhrerstattungen in der Gemeinsamen Agrarpolitik der EU</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Art:</w:t>
      </w:r>
      <w:r w:rsidRPr="00884639">
        <w:rPr>
          <w:rFonts w:asciiTheme="minorHAnsi" w:hAnsiTheme="minorHAnsi" w:cs="Times New Roman"/>
        </w:rPr>
        <w:tab/>
      </w:r>
      <w:r w:rsidRPr="00884639">
        <w:rPr>
          <w:rFonts w:asciiTheme="minorHAnsi" w:hAnsiTheme="minorHAnsi" w:cs="Times New Roman"/>
        </w:rPr>
        <w:tab/>
        <w:t>Text</w:t>
      </w:r>
    </w:p>
    <w:p w:rsidR="00AC6299" w:rsidRPr="00884639" w:rsidRDefault="00AC6299" w:rsidP="00400F78">
      <w:pPr>
        <w:spacing w:line="360" w:lineRule="auto"/>
        <w:ind w:left="1418" w:hanging="1418"/>
        <w:jc w:val="both"/>
        <w:rPr>
          <w:rFonts w:asciiTheme="minorHAnsi" w:hAnsiTheme="minorHAnsi" w:cs="Times New Roman"/>
        </w:rPr>
      </w:pPr>
      <w:r w:rsidRPr="00884639">
        <w:rPr>
          <w:rFonts w:asciiTheme="minorHAnsi" w:hAnsiTheme="minorHAnsi" w:cs="Times New Roman"/>
        </w:rPr>
        <w:t>Quelle:</w:t>
      </w:r>
      <w:r w:rsidRPr="00884639">
        <w:rPr>
          <w:rFonts w:asciiTheme="minorHAnsi" w:hAnsiTheme="minorHAnsi" w:cs="Times New Roman"/>
        </w:rPr>
        <w:tab/>
      </w:r>
      <w:r w:rsidRPr="00884639">
        <w:rPr>
          <w:rFonts w:asciiTheme="minorHAnsi" w:hAnsiTheme="minorHAnsi" w:cs="Times New Roman"/>
          <w:smallCaps/>
        </w:rPr>
        <w:t xml:space="preserve">Ministerium für ein lebenswertes Österreich </w:t>
      </w:r>
      <w:r w:rsidRPr="00884639">
        <w:rPr>
          <w:rFonts w:asciiTheme="minorHAnsi" w:hAnsiTheme="minorHAnsi" w:cs="Times New Roman"/>
        </w:rPr>
        <w:t>(Hrsg.) (2014): http://www.bmlfuw.gv.at/land/eu-international/</w:t>
      </w:r>
      <w:r w:rsidR="00400F78" w:rsidRPr="00884639">
        <w:rPr>
          <w:rFonts w:asciiTheme="minorHAnsi" w:hAnsiTheme="minorHAnsi" w:cs="Times New Roman"/>
        </w:rPr>
        <w:t>aussenhandel/erstattungen.html (Zugriff: 2015-03-27).</w:t>
      </w:r>
    </w:p>
    <w:p w:rsidR="00AC6299" w:rsidRPr="00884639" w:rsidRDefault="00AC6299" w:rsidP="00AC6299">
      <w:pPr>
        <w:spacing w:line="360" w:lineRule="auto"/>
        <w:jc w:val="both"/>
        <w:rPr>
          <w:rFonts w:asciiTheme="minorHAnsi" w:hAnsiTheme="minorHAnsi" w:cs="Times New Roman"/>
        </w:rPr>
      </w:pP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b/>
          <w:bCs/>
        </w:rPr>
        <w:t>M3:</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Name:</w:t>
      </w:r>
      <w:r w:rsidRPr="00884639">
        <w:rPr>
          <w:rFonts w:asciiTheme="minorHAnsi" w:hAnsiTheme="minorHAnsi" w:cs="Times New Roman"/>
        </w:rPr>
        <w:tab/>
      </w:r>
      <w:r w:rsidRPr="00884639">
        <w:rPr>
          <w:rFonts w:asciiTheme="minorHAnsi" w:hAnsiTheme="minorHAnsi" w:cs="Times New Roman"/>
        </w:rPr>
        <w:tab/>
        <w:t>Milchwirtschaft in Burkina Faso</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Art:</w:t>
      </w:r>
      <w:r w:rsidRPr="00884639">
        <w:rPr>
          <w:rFonts w:asciiTheme="minorHAnsi" w:hAnsiTheme="minorHAnsi" w:cs="Times New Roman"/>
        </w:rPr>
        <w:tab/>
      </w:r>
      <w:r w:rsidRPr="00884639">
        <w:rPr>
          <w:rFonts w:asciiTheme="minorHAnsi" w:hAnsiTheme="minorHAnsi" w:cs="Times New Roman"/>
        </w:rPr>
        <w:tab/>
        <w:t>Text</w:t>
      </w:r>
    </w:p>
    <w:p w:rsidR="00AC6299" w:rsidRPr="00884639" w:rsidRDefault="00AC6299" w:rsidP="00400F78">
      <w:pPr>
        <w:spacing w:line="360" w:lineRule="auto"/>
        <w:ind w:left="1560" w:hanging="1560"/>
        <w:jc w:val="both"/>
        <w:rPr>
          <w:rFonts w:asciiTheme="minorHAnsi" w:hAnsiTheme="minorHAnsi" w:cs="Times New Roman"/>
        </w:rPr>
      </w:pPr>
      <w:r w:rsidRPr="00884639">
        <w:rPr>
          <w:rFonts w:asciiTheme="minorHAnsi" w:hAnsiTheme="minorHAnsi" w:cs="Times New Roman"/>
        </w:rPr>
        <w:t>Quelle:</w:t>
      </w:r>
      <w:r w:rsidRPr="00884639">
        <w:rPr>
          <w:rFonts w:asciiTheme="minorHAnsi" w:hAnsiTheme="minorHAnsi" w:cs="Times New Roman"/>
        </w:rPr>
        <w:tab/>
      </w:r>
      <w:proofErr w:type="spellStart"/>
      <w:r w:rsidRPr="00884639">
        <w:rPr>
          <w:rFonts w:asciiTheme="minorHAnsi" w:hAnsiTheme="minorHAnsi" w:cs="Times New Roman"/>
          <w:smallCaps/>
        </w:rPr>
        <w:t>o.A.</w:t>
      </w:r>
      <w:proofErr w:type="spellEnd"/>
      <w:r w:rsidRPr="00884639">
        <w:rPr>
          <w:rFonts w:asciiTheme="minorHAnsi" w:hAnsiTheme="minorHAnsi" w:cs="Times New Roman"/>
          <w:smallCaps/>
        </w:rPr>
        <w:t xml:space="preserve"> </w:t>
      </w:r>
      <w:r w:rsidRPr="00884639">
        <w:rPr>
          <w:rFonts w:asciiTheme="minorHAnsi" w:hAnsiTheme="minorHAnsi" w:cs="Times New Roman"/>
        </w:rPr>
        <w:t>(2009): Die Folgen der Milchimporte für den b</w:t>
      </w:r>
      <w:r w:rsidR="00400F78" w:rsidRPr="00884639">
        <w:rPr>
          <w:rFonts w:asciiTheme="minorHAnsi" w:hAnsiTheme="minorHAnsi" w:cs="Times New Roman"/>
        </w:rPr>
        <w:t xml:space="preserve">urkinischen Milchsektor. In: </w:t>
      </w:r>
      <w:r w:rsidRPr="00884639">
        <w:rPr>
          <w:rFonts w:asciiTheme="minorHAnsi" w:hAnsiTheme="minorHAnsi" w:cs="Times New Roman"/>
        </w:rPr>
        <w:t>Praxis Geographie 12/2009, S. 42. [Eigene Überarbeitung]</w:t>
      </w:r>
    </w:p>
    <w:p w:rsidR="00AC6299" w:rsidRPr="00884639" w:rsidRDefault="00AC6299" w:rsidP="00AC6299">
      <w:pPr>
        <w:spacing w:line="360" w:lineRule="auto"/>
        <w:jc w:val="both"/>
        <w:rPr>
          <w:rFonts w:asciiTheme="minorHAnsi" w:hAnsiTheme="minorHAnsi" w:cs="Times New Roman"/>
        </w:rPr>
      </w:pP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b/>
          <w:bCs/>
        </w:rPr>
        <w:t>M4:</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Name:</w:t>
      </w:r>
      <w:r w:rsidRPr="00884639">
        <w:rPr>
          <w:rFonts w:asciiTheme="minorHAnsi" w:hAnsiTheme="minorHAnsi" w:cs="Times New Roman"/>
        </w:rPr>
        <w:tab/>
      </w:r>
      <w:r w:rsidRPr="00884639">
        <w:rPr>
          <w:rFonts w:asciiTheme="minorHAnsi" w:hAnsiTheme="minorHAnsi" w:cs="Times New Roman"/>
        </w:rPr>
        <w:tab/>
        <w:t>EU-Agrarkrieg</w:t>
      </w:r>
    </w:p>
    <w:p w:rsidR="00AC6299" w:rsidRPr="00884639" w:rsidRDefault="00AC6299" w:rsidP="00AC6299">
      <w:pPr>
        <w:spacing w:line="360" w:lineRule="auto"/>
        <w:jc w:val="both"/>
        <w:rPr>
          <w:rFonts w:asciiTheme="minorHAnsi" w:hAnsiTheme="minorHAnsi" w:cs="Times New Roman"/>
        </w:rPr>
      </w:pPr>
      <w:r w:rsidRPr="00884639">
        <w:rPr>
          <w:rFonts w:asciiTheme="minorHAnsi" w:hAnsiTheme="minorHAnsi" w:cs="Times New Roman"/>
        </w:rPr>
        <w:t>Art:</w:t>
      </w:r>
      <w:r w:rsidRPr="00884639">
        <w:rPr>
          <w:rFonts w:asciiTheme="minorHAnsi" w:hAnsiTheme="minorHAnsi" w:cs="Times New Roman"/>
        </w:rPr>
        <w:tab/>
      </w:r>
      <w:r w:rsidRPr="00884639">
        <w:rPr>
          <w:rFonts w:asciiTheme="minorHAnsi" w:hAnsiTheme="minorHAnsi" w:cs="Times New Roman"/>
        </w:rPr>
        <w:tab/>
        <w:t>Karikatur</w:t>
      </w:r>
    </w:p>
    <w:p w:rsidR="00AC6299" w:rsidRPr="00884639" w:rsidRDefault="00AC6299" w:rsidP="00400F78">
      <w:pPr>
        <w:spacing w:line="360" w:lineRule="auto"/>
        <w:ind w:left="1560" w:hanging="1560"/>
        <w:jc w:val="both"/>
        <w:rPr>
          <w:rFonts w:asciiTheme="minorHAnsi" w:hAnsiTheme="minorHAnsi"/>
          <w:b/>
          <w:bCs/>
          <w:sz w:val="28"/>
          <w:szCs w:val="28"/>
          <w:u w:val="single"/>
        </w:rPr>
      </w:pPr>
      <w:r w:rsidRPr="00884639">
        <w:rPr>
          <w:rFonts w:asciiTheme="minorHAnsi" w:hAnsiTheme="minorHAnsi" w:cs="Times New Roman"/>
        </w:rPr>
        <w:t>Quelle:</w:t>
      </w:r>
      <w:r w:rsidRPr="00884639">
        <w:rPr>
          <w:rFonts w:asciiTheme="minorHAnsi" w:hAnsiTheme="minorHAnsi" w:cs="Times New Roman"/>
        </w:rPr>
        <w:tab/>
      </w:r>
      <w:r w:rsidRPr="00884639">
        <w:rPr>
          <w:rFonts w:asciiTheme="minorHAnsi" w:hAnsiTheme="minorHAnsi" w:cs="Times New Roman"/>
          <w:smallCaps/>
        </w:rPr>
        <w:t xml:space="preserve">Karl-Heinz Tetzlaff </w:t>
      </w:r>
      <w:r w:rsidRPr="00884639">
        <w:rPr>
          <w:rFonts w:asciiTheme="minorHAnsi" w:hAnsiTheme="minorHAnsi" w:cs="Times New Roman"/>
        </w:rPr>
        <w:t>(2010): EU-Agrarkrieg. http://www.bio-wasserstoff.de/h2/WTO_IWF/EU-Agrarkrieg.gif (Zugriff: 2015-03-27).</w:t>
      </w:r>
    </w:p>
    <w:p w:rsidR="00571789" w:rsidRDefault="00571789"/>
    <w:sectPr w:rsidR="00571789" w:rsidSect="00AC629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79" w:rsidRDefault="00B34479" w:rsidP="002971B6">
      <w:r>
        <w:separator/>
      </w:r>
    </w:p>
  </w:endnote>
  <w:endnote w:type="continuationSeparator" w:id="0">
    <w:p w:rsidR="00B34479" w:rsidRDefault="00B34479" w:rsidP="0029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743748"/>
      <w:docPartObj>
        <w:docPartGallery w:val="Page Numbers (Bottom of Page)"/>
        <w:docPartUnique/>
      </w:docPartObj>
    </w:sdtPr>
    <w:sdtEndPr/>
    <w:sdtContent>
      <w:p w:rsidR="002971B6" w:rsidRDefault="002971B6">
        <w:pPr>
          <w:pStyle w:val="Fuzeile"/>
          <w:jc w:val="right"/>
        </w:pPr>
        <w:r>
          <w:fldChar w:fldCharType="begin"/>
        </w:r>
        <w:r>
          <w:instrText>PAGE   \* MERGEFORMAT</w:instrText>
        </w:r>
        <w:r>
          <w:fldChar w:fldCharType="separate"/>
        </w:r>
        <w:r w:rsidR="00FC737E" w:rsidRPr="00FC737E">
          <w:rPr>
            <w:noProof/>
            <w:lang w:val="de-DE"/>
          </w:rPr>
          <w:t>5</w:t>
        </w:r>
        <w:r>
          <w:fldChar w:fldCharType="end"/>
        </w:r>
      </w:p>
    </w:sdtContent>
  </w:sdt>
  <w:p w:rsidR="002971B6" w:rsidRDefault="002971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79" w:rsidRDefault="00B34479" w:rsidP="002971B6">
      <w:r>
        <w:separator/>
      </w:r>
    </w:p>
  </w:footnote>
  <w:footnote w:type="continuationSeparator" w:id="0">
    <w:p w:rsidR="00B34479" w:rsidRDefault="00B34479" w:rsidP="0029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A42E21"/>
    <w:multiLevelType w:val="hybridMultilevel"/>
    <w:tmpl w:val="BF36F0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1F"/>
    <w:rsid w:val="002971B6"/>
    <w:rsid w:val="00363F1F"/>
    <w:rsid w:val="00400F78"/>
    <w:rsid w:val="00512BEE"/>
    <w:rsid w:val="00571789"/>
    <w:rsid w:val="0057235B"/>
    <w:rsid w:val="00884639"/>
    <w:rsid w:val="00945B04"/>
    <w:rsid w:val="00AC6299"/>
    <w:rsid w:val="00B34479"/>
    <w:rsid w:val="00C84E0F"/>
    <w:rsid w:val="00FC737E"/>
    <w:rsid w:val="00FD36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paragraph" w:styleId="berschrift1">
    <w:name w:val="heading 1"/>
    <w:basedOn w:val="berschrift"/>
    <w:next w:val="Textkrper"/>
    <w:qFormat/>
    <w:pPr>
      <w:numPr>
        <w:numId w:val="1"/>
      </w:numPr>
      <w:outlineLvl w:val="0"/>
    </w:pPr>
    <w:rPr>
      <w:rFonts w:ascii="Times New Roman" w:eastAsia="SimSun" w:hAnsi="Times New Roman"/>
      <w:b/>
      <w:bCs/>
      <w:sz w:val="48"/>
      <w:szCs w:val="48"/>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berschrift"/>
    <w:next w:val="Textkrper"/>
    <w:qFormat/>
    <w:pPr>
      <w:numPr>
        <w:ilvl w:val="2"/>
        <w:numId w:val="1"/>
      </w:num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Listenabsatz">
    <w:name w:val="List Paragraph"/>
    <w:basedOn w:val="Standard"/>
    <w:uiPriority w:val="34"/>
    <w:qFormat/>
    <w:rsid w:val="00884639"/>
    <w:pPr>
      <w:widowControl/>
      <w:suppressAutoHyphens w:val="0"/>
      <w:spacing w:after="160" w:line="259" w:lineRule="auto"/>
      <w:ind w:left="720"/>
      <w:contextualSpacing/>
    </w:pPr>
    <w:rPr>
      <w:rFonts w:ascii="Calibri" w:eastAsia="Calibri" w:hAnsi="Calibri" w:cs="Times New Roman"/>
      <w:kern w:val="0"/>
      <w:sz w:val="22"/>
      <w:szCs w:val="22"/>
      <w:lang w:val="en-GB" w:eastAsia="en-US" w:bidi="ar-SA"/>
    </w:rPr>
  </w:style>
  <w:style w:type="paragraph" w:styleId="Kopfzeile">
    <w:name w:val="header"/>
    <w:basedOn w:val="Standard"/>
    <w:link w:val="KopfzeileZchn"/>
    <w:uiPriority w:val="99"/>
    <w:unhideWhenUsed/>
    <w:rsid w:val="00884639"/>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KopfzeileZchn">
    <w:name w:val="Kopfzeile Zchn"/>
    <w:basedOn w:val="Absatz-Standardschriftart"/>
    <w:link w:val="Kopfzeile"/>
    <w:uiPriority w:val="99"/>
    <w:rsid w:val="00884639"/>
    <w:rPr>
      <w:rFonts w:ascii="Calibri" w:eastAsia="Calibri" w:hAnsi="Calibri"/>
      <w:sz w:val="22"/>
      <w:szCs w:val="22"/>
      <w:lang w:eastAsia="en-US"/>
    </w:rPr>
  </w:style>
  <w:style w:type="table" w:styleId="Tabellenraster">
    <w:name w:val="Table Grid"/>
    <w:basedOn w:val="NormaleTabelle"/>
    <w:rsid w:val="0088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971B6"/>
    <w:pPr>
      <w:tabs>
        <w:tab w:val="center" w:pos="4536"/>
        <w:tab w:val="right" w:pos="9072"/>
      </w:tabs>
    </w:pPr>
    <w:rPr>
      <w:szCs w:val="21"/>
    </w:rPr>
  </w:style>
  <w:style w:type="character" w:customStyle="1" w:styleId="FuzeileZchn">
    <w:name w:val="Fußzeile Zchn"/>
    <w:basedOn w:val="Absatz-Standardschriftart"/>
    <w:link w:val="Fuzeile"/>
    <w:uiPriority w:val="99"/>
    <w:rsid w:val="002971B6"/>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paragraph" w:styleId="berschrift1">
    <w:name w:val="heading 1"/>
    <w:basedOn w:val="berschrift"/>
    <w:next w:val="Textkrper"/>
    <w:qFormat/>
    <w:pPr>
      <w:numPr>
        <w:numId w:val="1"/>
      </w:numPr>
      <w:outlineLvl w:val="0"/>
    </w:pPr>
    <w:rPr>
      <w:rFonts w:ascii="Times New Roman" w:eastAsia="SimSun" w:hAnsi="Times New Roman"/>
      <w:b/>
      <w:bCs/>
      <w:sz w:val="48"/>
      <w:szCs w:val="48"/>
    </w:rPr>
  </w:style>
  <w:style w:type="paragraph" w:styleId="berschrift2">
    <w:name w:val="heading 2"/>
    <w:basedOn w:val="berschrift"/>
    <w:next w:val="Textkrper"/>
    <w:qFormat/>
    <w:pPr>
      <w:numPr>
        <w:ilvl w:val="1"/>
        <w:numId w:val="1"/>
      </w:numPr>
      <w:outlineLvl w:val="1"/>
    </w:pPr>
    <w:rPr>
      <w:rFonts w:ascii="Times New Roman" w:eastAsia="SimSun" w:hAnsi="Times New Roman"/>
      <w:b/>
      <w:bCs/>
      <w:sz w:val="36"/>
      <w:szCs w:val="36"/>
    </w:rPr>
  </w:style>
  <w:style w:type="paragraph" w:styleId="berschrift3">
    <w:name w:val="heading 3"/>
    <w:basedOn w:val="berschrift"/>
    <w:next w:val="Textkrper"/>
    <w:qFormat/>
    <w:pPr>
      <w:numPr>
        <w:ilvl w:val="2"/>
        <w:numId w:val="1"/>
      </w:numPr>
      <w:outlineLvl w:val="2"/>
    </w:pPr>
    <w:rPr>
      <w:rFonts w:ascii="Times New Roman" w:eastAsia="SimSu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Listenabsatz">
    <w:name w:val="List Paragraph"/>
    <w:basedOn w:val="Standard"/>
    <w:uiPriority w:val="34"/>
    <w:qFormat/>
    <w:rsid w:val="00884639"/>
    <w:pPr>
      <w:widowControl/>
      <w:suppressAutoHyphens w:val="0"/>
      <w:spacing w:after="160" w:line="259" w:lineRule="auto"/>
      <w:ind w:left="720"/>
      <w:contextualSpacing/>
    </w:pPr>
    <w:rPr>
      <w:rFonts w:ascii="Calibri" w:eastAsia="Calibri" w:hAnsi="Calibri" w:cs="Times New Roman"/>
      <w:kern w:val="0"/>
      <w:sz w:val="22"/>
      <w:szCs w:val="22"/>
      <w:lang w:val="en-GB" w:eastAsia="en-US" w:bidi="ar-SA"/>
    </w:rPr>
  </w:style>
  <w:style w:type="paragraph" w:styleId="Kopfzeile">
    <w:name w:val="header"/>
    <w:basedOn w:val="Standard"/>
    <w:link w:val="KopfzeileZchn"/>
    <w:uiPriority w:val="99"/>
    <w:unhideWhenUsed/>
    <w:rsid w:val="00884639"/>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KopfzeileZchn">
    <w:name w:val="Kopfzeile Zchn"/>
    <w:basedOn w:val="Absatz-Standardschriftart"/>
    <w:link w:val="Kopfzeile"/>
    <w:uiPriority w:val="99"/>
    <w:rsid w:val="00884639"/>
    <w:rPr>
      <w:rFonts w:ascii="Calibri" w:eastAsia="Calibri" w:hAnsi="Calibri"/>
      <w:sz w:val="22"/>
      <w:szCs w:val="22"/>
      <w:lang w:eastAsia="en-US"/>
    </w:rPr>
  </w:style>
  <w:style w:type="table" w:styleId="Tabellenraster">
    <w:name w:val="Table Grid"/>
    <w:basedOn w:val="NormaleTabelle"/>
    <w:rsid w:val="00884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971B6"/>
    <w:pPr>
      <w:tabs>
        <w:tab w:val="center" w:pos="4536"/>
        <w:tab w:val="right" w:pos="9072"/>
      </w:tabs>
    </w:pPr>
    <w:rPr>
      <w:szCs w:val="21"/>
    </w:rPr>
  </w:style>
  <w:style w:type="character" w:customStyle="1" w:styleId="FuzeileZchn">
    <w:name w:val="Fußzeile Zchn"/>
    <w:basedOn w:val="Absatz-Standardschriftart"/>
    <w:link w:val="Fuzeile"/>
    <w:uiPriority w:val="99"/>
    <w:rsid w:val="002971B6"/>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o-wasserstoff.de/h2/WTO_IWF/EU-Agrarkrieg.gi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745</Words>
  <Characters>4695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dc:creator>
  <cp:keywords/>
  <cp:lastModifiedBy>Monika Andraschko</cp:lastModifiedBy>
  <cp:revision>5</cp:revision>
  <cp:lastPrinted>1900-12-31T22:00:00Z</cp:lastPrinted>
  <dcterms:created xsi:type="dcterms:W3CDTF">2015-04-08T14:46:00Z</dcterms:created>
  <dcterms:modified xsi:type="dcterms:W3CDTF">2015-04-09T09:55:00Z</dcterms:modified>
</cp:coreProperties>
</file>