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Borders>
          <w:top w:val="single" w:sz="18" w:space="0" w:color="B10026"/>
          <w:left w:val="single" w:sz="6" w:space="0" w:color="B10026"/>
          <w:bottom w:val="single" w:sz="6" w:space="0" w:color="B10026"/>
          <w:right w:val="single" w:sz="6" w:space="0" w:color="B1002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647900" w:rsidRPr="00194D47" w:rsidTr="000517DE">
        <w:trPr>
          <w:trHeight w:val="20"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0517DE">
            <w:pPr>
              <w:rPr>
                <w:rFonts w:ascii="Arial" w:hAnsi="Arial" w:cs="Arial"/>
                <w:sz w:val="28"/>
                <w:szCs w:val="18"/>
                <w:lang w:eastAsia="de-AT"/>
              </w:rPr>
            </w:pPr>
            <w:r w:rsidRPr="00194D47">
              <w:rPr>
                <w:rFonts w:ascii="Arial" w:hAnsi="Arial" w:cs="Arial"/>
                <w:b/>
                <w:bCs/>
                <w:sz w:val="28"/>
                <w:szCs w:val="20"/>
                <w:lang w:eastAsia="de-AT"/>
              </w:rPr>
              <w:t>M 6: Asylanträge in Österreich seit 2003 nach Staatsangehörigkeit</w:t>
            </w:r>
          </w:p>
        </w:tc>
      </w:tr>
      <w:tr w:rsidR="00647900" w:rsidRPr="00194D47" w:rsidTr="000517DE">
        <w:trPr>
          <w:trHeight w:val="20"/>
          <w:tblHeader/>
        </w:trPr>
        <w:tc>
          <w:tcPr>
            <w:tcW w:w="0" w:type="auto"/>
            <w:tcBorders>
              <w:left w:val="single" w:sz="6" w:space="0" w:color="B1002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Staatsangehörigkeit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2009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2010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2011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2012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2013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top w:val="single" w:sz="18" w:space="0" w:color="B10026"/>
              <w:left w:val="single" w:sz="6" w:space="0" w:color="B1002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Insgesamt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B1002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32.359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24.634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22.461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13.349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11.921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12.841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15.821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11.012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14.416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17.413</w:t>
            </w:r>
          </w:p>
        </w:tc>
        <w:tc>
          <w:tcPr>
            <w:tcW w:w="0" w:type="auto"/>
            <w:tcBorders>
              <w:top w:val="single" w:sz="18" w:space="0" w:color="B10026"/>
              <w:left w:val="single" w:sz="6" w:space="0" w:color="666666"/>
              <w:bottom w:val="single" w:sz="6" w:space="0" w:color="CCCCCC"/>
            </w:tcBorders>
            <w:shd w:val="clear" w:color="auto" w:fill="D99594" w:themeFill="accent2" w:themeFillTint="99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lang w:eastAsia="de-AT"/>
              </w:rPr>
            </w:pPr>
            <w:r w:rsidRPr="00194D47">
              <w:rPr>
                <w:color w:val="000000"/>
                <w:lang w:eastAsia="de-AT"/>
              </w:rPr>
              <w:t>17.503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Afghanistan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2.357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757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923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699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761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1.382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2.237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1.582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3.609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4.005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2.589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Albanien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69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Algerien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221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234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185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138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109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173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248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304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447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575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949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Armenien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1.098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516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350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405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360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440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278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224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300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Georgien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1.525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1.731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954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564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400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511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975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370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261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300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257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Indien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2.822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1.839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1.530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479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385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355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427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433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476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401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339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Irak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1.446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232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221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380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472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490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399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336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484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491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468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Iran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979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306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274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248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250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387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457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761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595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Kosovo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1.332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622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358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935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Moldawien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1.178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1.346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1.210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902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545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225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217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127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35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Nigeria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1.849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1.828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880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421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394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535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837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573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400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691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Pakistan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508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575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498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110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103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106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183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276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949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1.823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1.037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Rumänien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173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110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188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Russische Föderation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6.706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6.172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4.355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2.441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2.676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3.435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3.559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2.322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2.314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3.091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2.841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Serbien und Montenegro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2.526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2.835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4.403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Serbien (einschl. Kosovo)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2.515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1.760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1.702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-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Sri Lanka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115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88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37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27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Syrien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153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131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77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88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166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140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279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194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422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915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1.991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Sonstige Staatsangehörigkeit</w:t>
            </w:r>
          </w:p>
        </w:tc>
        <w:tc>
          <w:tcPr>
            <w:tcW w:w="0" w:type="auto"/>
            <w:tcBorders>
              <w:left w:val="single" w:sz="6" w:space="0" w:color="B1002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2.286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1.966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1.671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948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887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922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1.035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902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1.094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949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CCCCCC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lang w:eastAsia="de-AT"/>
              </w:rPr>
            </w:pPr>
            <w:r w:rsidRPr="00194D47">
              <w:rPr>
                <w:lang w:eastAsia="de-AT"/>
              </w:rPr>
              <w:t>1.194</w:t>
            </w:r>
          </w:p>
        </w:tc>
      </w:tr>
      <w:tr w:rsidR="00647900" w:rsidRPr="00194D47" w:rsidTr="000517DE">
        <w:trPr>
          <w:trHeight w:val="20"/>
        </w:trPr>
        <w:tc>
          <w:tcPr>
            <w:tcW w:w="0" w:type="auto"/>
            <w:gridSpan w:val="12"/>
            <w:tcBorders>
              <w:top w:val="single" w:sz="18" w:space="0" w:color="B1002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47900" w:rsidRPr="00194D47" w:rsidRDefault="00647900" w:rsidP="00647900">
            <w:pPr>
              <w:pStyle w:val="KeinLeerraum"/>
              <w:rPr>
                <w:color w:val="000000"/>
                <w:sz w:val="17"/>
                <w:szCs w:val="17"/>
                <w:lang w:eastAsia="de-AT"/>
              </w:rPr>
            </w:pPr>
            <w:bookmarkStart w:id="0" w:name="table1_footer"/>
            <w:bookmarkEnd w:id="0"/>
            <w:r w:rsidRPr="00194D47">
              <w:rPr>
                <w:color w:val="000000"/>
                <w:sz w:val="17"/>
                <w:szCs w:val="17"/>
                <w:lang w:eastAsia="de-AT"/>
              </w:rPr>
              <w:t>Q: STATISTIK AUSTRIA, BMI. Erstellt am 06.10.2014.; verändert durch Autor (2015)</w:t>
            </w:r>
          </w:p>
        </w:tc>
      </w:tr>
    </w:tbl>
    <w:p w:rsidR="006D616B" w:rsidRDefault="006D616B" w:rsidP="00A645BE">
      <w:pPr>
        <w:spacing w:after="0" w:line="240" w:lineRule="auto"/>
        <w:rPr>
          <w:b/>
          <w:lang w:val="de-DE"/>
        </w:rPr>
      </w:pPr>
    </w:p>
    <w:p w:rsidR="00647900" w:rsidRPr="0066210D" w:rsidRDefault="00C52A3E" w:rsidP="00647900">
      <w:pPr>
        <w:spacing w:after="0" w:line="240" w:lineRule="auto"/>
        <w:rPr>
          <w:sz w:val="18"/>
          <w:lang w:val="de-DE"/>
        </w:rPr>
      </w:pPr>
      <w:r w:rsidRPr="0066210D">
        <w:rPr>
          <w:b/>
          <w:sz w:val="18"/>
          <w:lang w:val="de-DE"/>
        </w:rPr>
        <w:t>Quelle:</w:t>
      </w:r>
      <w:r w:rsidRPr="0066210D">
        <w:rPr>
          <w:sz w:val="18"/>
          <w:lang w:val="de-DE"/>
        </w:rPr>
        <w:t xml:space="preserve"> </w:t>
      </w:r>
      <w:r w:rsidR="00647900" w:rsidRPr="0066210D">
        <w:rPr>
          <w:sz w:val="18"/>
          <w:lang w:val="de-DE"/>
        </w:rPr>
        <w:t>Statistik Austria (2014): Asylansuchen.</w:t>
      </w:r>
    </w:p>
    <w:p w:rsidR="00647900" w:rsidRPr="0066210D" w:rsidRDefault="00647900" w:rsidP="00647900">
      <w:pPr>
        <w:spacing w:after="0" w:line="240" w:lineRule="auto"/>
        <w:rPr>
          <w:sz w:val="18"/>
          <w:lang w:val="de-DE"/>
        </w:rPr>
      </w:pPr>
      <w:r w:rsidRPr="0066210D">
        <w:rPr>
          <w:sz w:val="18"/>
          <w:lang w:val="de-DE"/>
        </w:rPr>
        <w:t>&lt;</w:t>
      </w:r>
      <w:hyperlink r:id="rId7" w:history="1">
        <w:r w:rsidRPr="0066210D">
          <w:rPr>
            <w:rStyle w:val="Hyperlink"/>
            <w:sz w:val="18"/>
            <w:lang w:val="de-DE"/>
          </w:rPr>
          <w:t>http://www.statistik.at/web_de/statistiken/bevoelkerung/wanderungen/asyl/index.html</w:t>
        </w:r>
      </w:hyperlink>
      <w:r w:rsidRPr="0066210D">
        <w:rPr>
          <w:sz w:val="18"/>
          <w:lang w:val="de-DE"/>
        </w:rPr>
        <w:t xml:space="preserve"> &gt; (Zugriff: 2015-01-20)</w:t>
      </w:r>
      <w:bookmarkStart w:id="1" w:name="_GoBack"/>
      <w:bookmarkEnd w:id="1"/>
    </w:p>
    <w:sectPr w:rsidR="00647900" w:rsidRPr="0066210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E" w:rsidRDefault="00C52A3E" w:rsidP="00C52A3E">
      <w:pPr>
        <w:spacing w:after="0" w:line="240" w:lineRule="auto"/>
      </w:pPr>
      <w:r>
        <w:separator/>
      </w:r>
    </w:p>
  </w:endnote>
  <w:end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Fuzeile"/>
      <w:jc w:val="right"/>
      <w:rPr>
        <w:sz w:val="18"/>
        <w:lang w:val="de-DE"/>
      </w:rPr>
    </w:pPr>
    <w:r w:rsidRPr="00C52A3E">
      <w:rPr>
        <w:sz w:val="18"/>
        <w:lang w:val="de-DE"/>
      </w:rPr>
      <w:t>Anja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E" w:rsidRDefault="00C52A3E" w:rsidP="00C52A3E">
      <w:pPr>
        <w:spacing w:after="0" w:line="240" w:lineRule="auto"/>
      </w:pPr>
      <w:r>
        <w:separator/>
      </w:r>
    </w:p>
  </w:footnote>
  <w:foot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Kopfzeile"/>
      <w:jc w:val="right"/>
      <w:rPr>
        <w:sz w:val="18"/>
      </w:rPr>
    </w:pPr>
    <w:r w:rsidRPr="00C52A3E">
      <w:rPr>
        <w:sz w:val="18"/>
      </w:rPr>
      <w:t xml:space="preserve">zu Frage </w:t>
    </w:r>
    <w:r w:rsidRPr="00C52A3E">
      <w:rPr>
        <w:sz w:val="18"/>
      </w:rPr>
      <w:t>S08GW6C01</w:t>
    </w:r>
    <w:r w:rsidRPr="00C52A3E">
      <w:rPr>
        <w:sz w:val="18"/>
      </w:rPr>
      <w:t>_</w:t>
    </w:r>
    <w:r w:rsidRPr="00C52A3E">
      <w:rPr>
        <w:sz w:val="18"/>
      </w:rPr>
      <w:t>Migration und ihre Formen</w:t>
    </w:r>
  </w:p>
  <w:p w:rsidR="00C52A3E" w:rsidRDefault="00C52A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E"/>
    <w:rsid w:val="00647900"/>
    <w:rsid w:val="0066210D"/>
    <w:rsid w:val="006D616B"/>
    <w:rsid w:val="00A645BE"/>
    <w:rsid w:val="00C1643B"/>
    <w:rsid w:val="00C52A3E"/>
    <w:rsid w:val="00F00C06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616B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  <w:style w:type="character" w:styleId="Hyperlink">
    <w:name w:val="Hyperlink"/>
    <w:basedOn w:val="Absatz-Standardschriftart"/>
    <w:uiPriority w:val="99"/>
    <w:unhideWhenUsed/>
    <w:rsid w:val="00A645BE"/>
    <w:rPr>
      <w:color w:val="0000FF" w:themeColor="hyperlink"/>
      <w:u w:val="single"/>
    </w:rPr>
  </w:style>
  <w:style w:type="character" w:customStyle="1" w:styleId="apple-converted-space">
    <w:name w:val="apple-converted-space"/>
    <w:rsid w:val="00A645BE"/>
  </w:style>
  <w:style w:type="paragraph" w:styleId="StandardWeb">
    <w:name w:val="Normal (Web)"/>
    <w:basedOn w:val="Standard"/>
    <w:uiPriority w:val="99"/>
    <w:semiHidden/>
    <w:unhideWhenUsed/>
    <w:rsid w:val="00A6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616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KeinLeerraum">
    <w:name w:val="No Spacing"/>
    <w:uiPriority w:val="1"/>
    <w:qFormat/>
    <w:rsid w:val="00647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616B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  <w:style w:type="character" w:styleId="Hyperlink">
    <w:name w:val="Hyperlink"/>
    <w:basedOn w:val="Absatz-Standardschriftart"/>
    <w:uiPriority w:val="99"/>
    <w:unhideWhenUsed/>
    <w:rsid w:val="00A645BE"/>
    <w:rPr>
      <w:color w:val="0000FF" w:themeColor="hyperlink"/>
      <w:u w:val="single"/>
    </w:rPr>
  </w:style>
  <w:style w:type="character" w:customStyle="1" w:styleId="apple-converted-space">
    <w:name w:val="apple-converted-space"/>
    <w:rsid w:val="00A645BE"/>
  </w:style>
  <w:style w:type="paragraph" w:styleId="StandardWeb">
    <w:name w:val="Normal (Web)"/>
    <w:basedOn w:val="Standard"/>
    <w:uiPriority w:val="99"/>
    <w:semiHidden/>
    <w:unhideWhenUsed/>
    <w:rsid w:val="00A6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616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KeinLeerraum">
    <w:name w:val="No Spacing"/>
    <w:uiPriority w:val="1"/>
    <w:qFormat/>
    <w:rsid w:val="0064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istik.at/web_de/statistiken/bevoelkerung/wanderungen/asyl/index.htm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Monika Andraschko</cp:lastModifiedBy>
  <cp:revision>2</cp:revision>
  <dcterms:created xsi:type="dcterms:W3CDTF">2015-04-08T14:49:00Z</dcterms:created>
  <dcterms:modified xsi:type="dcterms:W3CDTF">2015-04-08T14:49:00Z</dcterms:modified>
</cp:coreProperties>
</file>